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Kopfzeile"/>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rsidR="00D91188" w:rsidRDefault="00D91188" w:rsidP="00D91188">
      <w:pPr>
        <w:pStyle w:val="berschrift1"/>
      </w:pPr>
      <w:r>
        <w:t xml:space="preserve">Information about the </w:t>
      </w:r>
      <w:r w:rsidR="005028B0">
        <w:t>activity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berschrift2"/>
      </w:pPr>
      <w:r>
        <w:t>Information about the invited expert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berschrift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berschrift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berschrift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11C" w:rsidRPr="00D02D0C" w:rsidRDefault="00D0211C">
      <w:r w:rsidRPr="00D02D0C">
        <w:separator/>
      </w:r>
    </w:p>
  </w:endnote>
  <w:endnote w:type="continuationSeparator" w:id="0">
    <w:p w:rsidR="00D0211C" w:rsidRPr="00D02D0C" w:rsidRDefault="00D0211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B7329A">
      <w:rPr>
        <w:rStyle w:val="Seitenzahl"/>
        <w:i w:val="0"/>
        <w:noProof/>
      </w:rPr>
      <w:t>1</w:t>
    </w:r>
    <w:r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11C" w:rsidRPr="00D02D0C" w:rsidRDefault="00D0211C">
      <w:r w:rsidRPr="00D02D0C">
        <w:separator/>
      </w:r>
    </w:p>
  </w:footnote>
  <w:footnote w:type="continuationSeparator" w:id="0">
    <w:p w:rsidR="00D0211C" w:rsidRPr="00D02D0C" w:rsidRDefault="00D0211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1905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4D2D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D1BCF"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4A84"/>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11C"/>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2FD208-57DF-4AD8-9392-A028700E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2022-08-04T06:43:00Z</dcterms:created>
  <dcterms:modified xsi:type="dcterms:W3CDTF">2022-08-04T06:43:00Z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