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14="http://schemas.microsoft.com/office/word/2010/wordml">
  <w:body>
    <w:p w14:paraId="0F27597D" w14:textId="3EAA5205">
      <w:pPr>
        <w:jc w:val="center"/>
        <w:rPr>
          <w:rFonts w:cstheme="minorHAnsi"/>
          <w:b/>
          <w:sz w:val="20"/>
          <w:szCs w:val="20"/>
          <w:lang w:val="de-DE"/>
        </w:rPr>
      </w:pPr>
      <w:r>
        <w:rPr>
          <w:rFonts w:cstheme="minorHAnsi"/>
          <w:b/>
          <w:caps/>
          <w:lang w:val="de-DE"/>
        </w:rPr>
        <w:t xml:space="preserve">Addendum zur </w:t>
      </w:r>
      <w:r>
        <w:rPr>
          <w:rFonts w:cstheme="minorHAnsi"/>
          <w:b/>
          <w:caps/>
          <w:lang w:val="de-DE"/>
        </w:rPr>
        <w:t xml:space="preserve">Finanzhilfevereinbarung </w:t>
      </w:r>
      <w:r>
        <w:rPr>
          <w:rFonts w:cstheme="minorHAnsi"/>
          <w:b/>
          <w:caps/>
          <w:lang w:val="de-DE"/>
        </w:rPr>
        <w:br/>
      </w:r>
      <w:r>
        <w:rPr>
          <w:rFonts w:cstheme="minorHAnsi"/>
          <w:b/>
          <w:lang w:val="de-DE"/>
        </w:rPr>
        <w:t>VEREINBARUNG NUMMER</w:t>
      </w:r>
      <w:r>
        <w:rPr>
          <w:rFonts w:cstheme="minorHAnsi"/>
          <w:b/>
          <w:lang w:val="de-DE"/>
        </w:rPr>
        <w:t xml:space="preserve"> </w:t>
      </w:r>
      <w:r>
        <w:rPr>
          <w:rFonts w:cstheme="minorHAnsi"/>
          <w:i/>
          <w:color w:val="FF0000"/>
          <w:lang w:val="de-DE"/>
        </w:rPr>
        <w:t xml:space="preserve">bitte eingeben </w:t>
      </w:r>
      <w:r>
        <w:rPr>
          <w:rFonts w:cstheme="minorHAnsi"/>
          <w:i/>
          <w:color w:val="FF0000"/>
          <w:sz w:val="20"/>
          <w:szCs w:val="20"/>
          <w:lang w:val="de-DE"/>
        </w:rPr>
        <w:t>(Beispiel: 2022-1-DE02-KA121-VET-000004711)</w:t>
      </w:r>
    </w:p>
    <w:p w14:paraId="6E662179" w14:textId="3C378AB7">
      <w:pPr>
        <w:rPr>
          <w:rFonts w:cstheme="minorHAnsi"/>
          <w:b/>
          <w:lang w:val="en-GB"/>
        </w:rPr>
      </w:pPr>
    </w:p>
    <w:p w14:paraId="7F23D73D" w14:textId="77777777">
      <w:pPr>
        <w:jc w:val="center"/>
        <w:rPr>
          <w:rFonts w:cstheme="minorHAnsi"/>
          <w:b/>
          <w:bCs/>
          <w:lang w:val="en-GB"/>
        </w:rPr>
      </w:pPr>
    </w:p>
    <w:p w14:paraId="6022495C" w14:textId="77777777">
      <w:pPr>
        <w:jc w:val="both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>ZUSÄTZLICHE FINANZIELLE UND VERTRAGLICHE BEDINGUNGEN FÜR PROJEKTE, DIE DURCH COVID-19 BEDINGTE VIRTUELLE AKTIVITÄTEN DURCHFÜHREN</w:t>
      </w:r>
    </w:p>
    <w:p w14:paraId="6F8E7F4C" w14:textId="2D587AE3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Die folgenden Regeln gelten zusätzlich zu jenen in den Artikeln I.2 und II.2. des Anhangs III (Finanz- und Vertragsbestimmungen) genannten Regeln nur für Fälle, in denen aufgrund von COVID-19 virtuelle Aktivitäten organisiert werden müssen. Die in der Finanzhilfevereinbarung genannten Pflichten der Berichterstattung gelten auch für </w:t>
      </w:r>
      <w:proofErr w:type="spellStart"/>
      <w:r>
        <w:rPr>
          <w:rFonts w:cstheme="minorHAnsi"/>
          <w:lang w:val="de-DE"/>
        </w:rPr>
        <w:t>für</w:t>
      </w:r>
      <w:proofErr w:type="spellEnd"/>
      <w:r>
        <w:rPr>
          <w:rFonts w:cstheme="minorHAnsi"/>
          <w:lang w:val="de-DE"/>
        </w:rPr>
        <w:t xml:space="preserve"> virtuelle Aktivitäten</w:t>
      </w:r>
    </w:p>
    <w:p w14:paraId="51C8A9BD" w14:textId="6E4A8399">
      <w:pPr>
        <w:rPr>
          <w:rFonts w:cstheme="minorHAnsi"/>
          <w:b/>
          <w:bCs/>
        </w:rPr>
      </w:pPr>
    </w:p>
    <w:p w14:paraId="0C088081" w14:textId="77777777">
      <w:pPr>
        <w:jc w:val="both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>Artikel I.2. Berechnung der Einheitenbeträge und Belege</w:t>
      </w:r>
    </w:p>
    <w:p w14:paraId="3D367C47" w14:textId="77777777">
      <w:pPr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Reisekosten, individuelle Unterstützung und Kursgebühren sind im Rahmen von virtuellen Aktivitäten nicht förderfähig. Der Online </w:t>
      </w:r>
      <w:proofErr w:type="spellStart"/>
      <w:r>
        <w:rPr>
          <w:rFonts w:cstheme="minorHAnsi"/>
          <w:lang w:val="de-DE"/>
        </w:rPr>
        <w:t>Linguistic</w:t>
      </w:r>
      <w:proofErr w:type="spellEnd"/>
      <w:r>
        <w:rPr>
          <w:rFonts w:cstheme="minorHAnsi"/>
          <w:lang w:val="de-DE"/>
        </w:rPr>
        <w:t xml:space="preserve"> Support (OLS) sollte in allen Fällen genutzt werden.</w:t>
      </w:r>
    </w:p>
    <w:p w14:paraId="619C2985" w14:textId="77777777">
      <w:pPr>
        <w:jc w:val="both"/>
        <w:rPr>
          <w:rFonts w:cstheme="minorHAnsi"/>
          <w:lang w:val="en-GB"/>
        </w:rPr>
      </w:pPr>
    </w:p>
    <w:p w14:paraId="0247BAC9" w14:textId="77777777">
      <w:pPr>
        <w:jc w:val="both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>C. Organisatorische Unterstützung</w:t>
      </w:r>
    </w:p>
    <w:p w14:paraId="14D55896" w14:textId="77777777">
      <w:pPr>
        <w:ind w:left="72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(a) </w:t>
      </w:r>
      <w:r>
        <w:rPr>
          <w:rFonts w:cstheme="minorHAnsi"/>
          <w:lang w:val="de-DE"/>
        </w:rPr>
        <w:t xml:space="preserve">Berechnung des Finanzhilfebetrags: Der Finanzhilfebetrag wird errechnet, indem die Gesamtzahl der Teilnahmen an </w:t>
      </w:r>
      <w:r>
        <w:rPr>
          <w:rFonts w:cstheme="minorHAnsi"/>
          <w:lang w:val="de-DE"/>
        </w:rPr>
        <w:t xml:space="preserve">virtuellen </w:t>
      </w:r>
      <w:r>
        <w:rPr>
          <w:rFonts w:cstheme="minorHAnsi"/>
          <w:lang w:val="de-DE"/>
        </w:rPr>
        <w:t>Mobilitätsaktivitäten mit dem in Anhang IV der Vereinbarung festgelegten Finanzierungsbeitrag zu den Einheitenkosten multipliziert wird.</w:t>
      </w:r>
    </w:p>
    <w:p w14:paraId="57B4225F" w14:textId="77777777">
      <w:pPr>
        <w:ind w:left="720"/>
        <w:jc w:val="both"/>
        <w:rPr>
          <w:rFonts w:cstheme="minorHAnsi"/>
        </w:rPr>
      </w:pPr>
      <w:r>
        <w:rPr>
          <w:rFonts w:cstheme="minorHAnsi"/>
          <w:lang w:val="de-DE"/>
        </w:rPr>
        <w:t xml:space="preserve">(b) </w:t>
      </w:r>
      <w:proofErr w:type="spellStart"/>
      <w:r>
        <w:rPr>
          <w:rFonts w:cstheme="minorHAnsi"/>
        </w:rPr>
        <w:t>Auslösendes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Ereignis</w:t>
      </w:r>
      <w:proofErr w:type="spellEnd"/>
      <w:r>
        <w:rPr>
          <w:rFonts w:cstheme="minorHAnsi"/>
        </w:rPr>
        <w:t xml:space="preserve">: Der </w:t>
      </w:r>
      <w:proofErr w:type="spellStart"/>
      <w:r>
        <w:rPr>
          <w:rFonts w:cstheme="minorHAnsi"/>
        </w:rPr>
        <w:t>Anspruch</w:t>
      </w:r>
      <w:proofErr w:type="spellEnd"/>
      <w:r>
        <w:rPr>
          <w:rFonts w:cstheme="minorHAnsi"/>
        </w:rPr>
        <w:t xml:space="preserve"> auf die </w:t>
      </w:r>
      <w:proofErr w:type="spellStart"/>
      <w:r>
        <w:rPr>
          <w:rFonts w:cstheme="minorHAnsi"/>
        </w:rPr>
        <w:t>Finanzhilfe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entsteht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dadurch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Teilnehmende</w:t>
      </w:r>
      <w:proofErr w:type="spellEnd"/>
      <w:r>
        <w:rPr>
          <w:rFonts w:cstheme="minorHAnsi"/>
        </w:rPr>
        <w:t xml:space="preserve"> die </w:t>
      </w:r>
      <w:proofErr w:type="spellStart"/>
      <w:r>
        <w:rPr>
          <w:rFonts w:cstheme="minorHAnsi"/>
        </w:rPr>
        <w:t>Aktivität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tatsächlich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durchgeführt</w:t>
      </w:r>
      <w:proofErr w:type="spellEnd"/>
      <w:r>
        <w:rPr>
          <w:rFonts w:cstheme="minorHAnsi"/>
        </w:rPr>
        <w:t xml:space="preserve"> hat.</w:t>
      </w:r>
    </w:p>
    <w:p w14:paraId="349789FA" w14:textId="77777777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(c) </w:t>
      </w:r>
      <w:proofErr w:type="spellStart"/>
      <w:r>
        <w:rPr>
          <w:rFonts w:cstheme="minorHAnsi"/>
        </w:rPr>
        <w:t>Belege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Nachweis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Teilnahme</w:t>
      </w:r>
      <w:proofErr w:type="spellEnd"/>
      <w:r>
        <w:rPr>
          <w:rFonts w:cstheme="minorHAnsi"/>
        </w:rPr>
        <w:t xml:space="preserve"> an der </w:t>
      </w:r>
      <w:proofErr w:type="spellStart"/>
      <w:r>
        <w:rPr>
          <w:rFonts w:cstheme="minorHAnsi"/>
        </w:rPr>
        <w:t>Aktivität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</w:t>
      </w:r>
      <w:proofErr w:type="spellEnd"/>
      <w:r>
        <w:rPr>
          <w:rFonts w:cstheme="minorHAnsi"/>
        </w:rPr>
        <w:t xml:space="preserve"> Ausland in Form </w:t>
      </w:r>
      <w:proofErr w:type="spellStart"/>
      <w:r>
        <w:rPr>
          <w:rFonts w:cstheme="minorHAnsi"/>
        </w:rPr>
        <w:t>einer</w:t>
      </w:r>
      <w:proofErr w:type="spellEnd"/>
      <w:r>
        <w:rPr>
          <w:rFonts w:cstheme="minorHAnsi"/>
        </w:rPr>
        <w:t xml:space="preserve"> von der </w:t>
      </w:r>
      <w:proofErr w:type="spellStart"/>
      <w:r>
        <w:rPr>
          <w:rFonts w:cstheme="minorHAnsi"/>
        </w:rPr>
        <w:t>aufnehmenden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Organisation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unterzeichneten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Erklärung</w:t>
      </w:r>
      <w:proofErr w:type="spellEnd"/>
      <w:r>
        <w:rPr>
          <w:rFonts w:cstheme="minorHAnsi"/>
        </w:rPr>
        <w:t xml:space="preserve">, in der </w:t>
      </w:r>
      <w:proofErr w:type="spellStart"/>
      <w:r>
        <w:rPr>
          <w:rFonts w:cstheme="minorHAnsi"/>
        </w:rPr>
        <w:t>der</w:t>
      </w:r>
      <w:proofErr w:type="spellEnd"/>
      <w:r>
        <w:rPr>
          <w:rFonts w:cstheme="minorHAnsi"/>
        </w:rPr>
        <w:t xml:space="preserve"> Name des </w:t>
      </w:r>
      <w:proofErr w:type="spellStart"/>
      <w:r>
        <w:rPr>
          <w:rFonts w:cstheme="minorHAnsi"/>
        </w:rPr>
        <w:t>Teilnehmers</w:t>
      </w:r>
      <w:proofErr w:type="spellEnd"/>
      <w:r>
        <w:rPr>
          <w:rFonts w:cstheme="minorHAnsi"/>
        </w:rPr>
        <w:t xml:space="preserve">, der </w:t>
      </w:r>
      <w:proofErr w:type="spellStart"/>
      <w:r>
        <w:rPr>
          <w:rFonts w:cstheme="minorHAnsi"/>
        </w:rPr>
        <w:t>Zweck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Aktivität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</w:t>
      </w:r>
      <w:proofErr w:type="spellEnd"/>
      <w:r>
        <w:rPr>
          <w:rFonts w:cstheme="minorHAnsi"/>
        </w:rPr>
        <w:t xml:space="preserve"> Ausland </w:t>
      </w:r>
      <w:proofErr w:type="spellStart"/>
      <w:r>
        <w:rPr>
          <w:rFonts w:cstheme="minorHAnsi"/>
        </w:rPr>
        <w:t>sowie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deren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Anfangs</w:t>
      </w:r>
      <w:proofErr w:type="spellEnd"/>
      <w:r>
        <w:rPr>
          <w:rFonts w:cstheme="minorHAnsi"/>
        </w:rPr>
        <w:t xml:space="preserve">- und </w:t>
      </w:r>
      <w:proofErr w:type="spellStart"/>
      <w:r>
        <w:rPr>
          <w:rFonts w:cstheme="minorHAnsi"/>
        </w:rPr>
        <w:t>Enddatum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angegeben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sind</w:t>
      </w:r>
      <w:proofErr w:type="spellEnd"/>
      <w:r>
        <w:rPr>
          <w:rFonts w:cstheme="minorHAnsi"/>
        </w:rPr>
        <w:t xml:space="preserve">. </w:t>
      </w:r>
    </w:p>
    <w:p w14:paraId="77C9AA97" w14:textId="34951224">
      <w:pPr>
        <w:ind w:left="426"/>
        <w:jc w:val="both"/>
        <w:rPr>
          <w:rFonts w:cstheme="minorHAnsi"/>
        </w:rPr>
      </w:pPr>
    </w:p>
    <w:p w14:paraId="55E5AC25" w14:textId="77777777">
      <w:pPr>
        <w:ind w:left="426"/>
        <w:jc w:val="both"/>
        <w:rPr>
          <w:rFonts w:cstheme="minorHAnsi"/>
        </w:rPr>
      </w:pPr>
    </w:p>
    <w:p w14:paraId="5EC55CE5" w14:textId="77777777">
      <w:pPr>
        <w:jc w:val="both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 xml:space="preserve">Artikel </w:t>
      </w:r>
      <w:r>
        <w:rPr>
          <w:rFonts w:cstheme="minorHAnsi"/>
          <w:b/>
          <w:bCs/>
          <w:lang w:val="de-DE"/>
        </w:rPr>
        <w:t>II</w:t>
      </w:r>
      <w:r>
        <w:rPr>
          <w:rFonts w:cstheme="minorHAnsi"/>
          <w:b/>
          <w:bCs/>
          <w:lang w:val="de-DE"/>
        </w:rPr>
        <w:t xml:space="preserve">.2. </w:t>
      </w:r>
      <w:proofErr w:type="spellStart"/>
      <w:r>
        <w:rPr>
          <w:rFonts w:cstheme="minorHAnsi"/>
          <w:b/>
        </w:rPr>
        <w:t>Berechnung</w:t>
      </w:r>
      <w:proofErr w:type="spellEnd"/>
      <w:r>
        <w:rPr>
          <w:rFonts w:cstheme="minorHAnsi"/>
          <w:b/>
        </w:rPr>
        <w:t xml:space="preserve"> der </w:t>
      </w:r>
      <w:proofErr w:type="spellStart"/>
      <w:r>
        <w:rPr>
          <w:rFonts w:cstheme="minorHAnsi"/>
          <w:b/>
        </w:rPr>
        <w:t>tatsächlichen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Kosten</w:t>
      </w:r>
      <w:proofErr w:type="spellEnd"/>
    </w:p>
    <w:p w14:paraId="5489972E" w14:textId="77777777">
      <w:pPr>
        <w:jc w:val="both"/>
        <w:rPr>
          <w:rFonts w:cstheme="minorHAnsi"/>
          <w:b/>
        </w:rPr>
      </w:pPr>
    </w:p>
    <w:p w14:paraId="3D799F52" w14:textId="6365DD00">
      <w:pPr>
        <w:jc w:val="both"/>
        <w:rPr>
          <w:rFonts w:cstheme="minorHAnsi"/>
          <w:b/>
          <w:lang w:eastAsia="de-DE" w:val="de-DE"/>
        </w:rPr>
      </w:pPr>
      <w:r>
        <w:rPr>
          <w:rFonts w:cstheme="minorHAnsi"/>
          <w:b/>
        </w:rPr>
        <w:t xml:space="preserve">A. </w:t>
      </w:r>
      <w:proofErr w:type="spellStart"/>
      <w:r>
        <w:rPr>
          <w:rFonts w:cstheme="minorHAnsi"/>
          <w:b/>
        </w:rPr>
        <w:t>Inklusions-</w:t>
      </w:r>
      <w:r>
        <w:rPr>
          <w:rFonts w:cstheme="minorHAnsi"/>
          <w:b/>
        </w:rPr>
        <w:t>Unterstützung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für </w:t>
      </w:r>
      <w:proofErr w:type="spellStart"/>
      <w:r>
        <w:rPr>
          <w:rFonts w:cstheme="minorHAnsi"/>
          <w:b/>
        </w:rPr>
        <w:t>Teilnehmende</w:t>
      </w:r>
      <w:proofErr w:type="spellEnd"/>
      <w:r>
        <w:rPr>
          <w:rFonts w:cstheme="minorHAnsi"/>
          <w:b/>
        </w:rPr>
        <w:t xml:space="preserve"> </w:t>
      </w:r>
    </w:p>
    <w:p w14:paraId="7A04084A" w14:textId="3422E114">
      <w:pPr>
        <w:spacing w:after="0" w:line="100" w:lineRule="atLeast"/>
        <w:jc w:val="both"/>
        <w:rPr>
          <w:rFonts w:cstheme="minorHAnsi"/>
        </w:rPr>
      </w:pPr>
    </w:p>
    <w:p w14:paraId="3B9C47E0" w14:textId="77777777">
      <w:pPr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Der Zuschussempfänger ist berechtigt, aus allen anderen Kostenarten Kosten in diese Kostenart zu übertragen, auch wenn hier ursprünglich keine Kosten angesetzt waren.</w:t>
      </w:r>
    </w:p>
    <w:p w14:paraId="757E4319" w14:textId="77777777">
      <w:pPr>
        <w:ind w:left="72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(a) </w:t>
      </w:r>
      <w:r>
        <w:rPr>
          <w:rFonts w:cstheme="minorHAnsi"/>
          <w:lang w:val="de-DE"/>
        </w:rPr>
        <w:t>Berechnung des Finanzhilfebetrags</w:t>
      </w:r>
      <w:r>
        <w:rPr>
          <w:rFonts w:cstheme="minorHAnsi"/>
          <w:lang w:val="de-DE"/>
        </w:rPr>
        <w:t xml:space="preserve">: </w:t>
      </w:r>
      <w:r>
        <w:rPr>
          <w:rFonts w:cstheme="minorHAnsi"/>
          <w:lang w:val="de-DE"/>
        </w:rPr>
        <w:t>Die tatsächlich angefallenen förderfähigen Kosten werden zu 100% erstattet.</w:t>
      </w:r>
    </w:p>
    <w:p w14:paraId="07E11769" w14:textId="77777777">
      <w:pPr>
        <w:ind w:left="72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lastRenderedPageBreak/>
        <w:t xml:space="preserve">(b) </w:t>
      </w:r>
      <w:r>
        <w:rPr>
          <w:rFonts w:cstheme="minorHAnsi"/>
          <w:lang w:val="de-DE"/>
        </w:rPr>
        <w:t xml:space="preserve">Förderfähige Kosten: Kosten, die </w:t>
      </w:r>
      <w:r>
        <w:rPr>
          <w:rFonts w:cstheme="minorHAnsi"/>
          <w:lang w:val="de-DE"/>
        </w:rPr>
        <w:t xml:space="preserve">unmittelbar mit Teilnehmenden mit </w:t>
      </w:r>
      <w:r>
        <w:rPr>
          <w:rFonts w:cstheme="minorHAnsi"/>
          <w:lang w:val="de-DE"/>
        </w:rPr>
        <w:t>geringeren Chancen im Zusammenhang stehen und benötigt werden, die virtuellen Aktivitäten durchzuführen.</w:t>
      </w:r>
    </w:p>
    <w:p w14:paraId="614BDE66" w14:textId="77777777">
      <w:pPr>
        <w:ind w:left="72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(c) </w:t>
      </w:r>
      <w:r>
        <w:rPr>
          <w:rFonts w:cstheme="minorHAnsi"/>
          <w:lang w:val="de-DE"/>
        </w:rPr>
        <w:t>Rechnungen über die tatsächlich angefallenen Kosten, auf denen der Name und die Anschrift des Rechnungsausstellers, der Betrag und die Währung sowie das Rechnungsdatum ausgewiesen sind.</w:t>
      </w:r>
    </w:p>
    <w:p w14:paraId="2C842CDC" w14:textId="77777777">
      <w:pPr>
        <w:pStyle w:val="Aufzhlungszeichen"/>
        <w:ind w:left="1134"/>
        <w:rPr>
          <w:rFonts w:asciiTheme="minorHAnsi" w:cstheme="minorHAnsi" w:hAnsiTheme="minorHAnsi"/>
          <w:b/>
          <w:sz w:val="22"/>
          <w:szCs w:val="22"/>
          <w:lang w:val="en-US"/>
        </w:rPr>
      </w:pPr>
    </w:p>
    <w:p w14:paraId="3AC0CCF8" w14:textId="77777777">
      <w:pPr>
        <w:jc w:val="both"/>
        <w:rPr>
          <w:rFonts w:cstheme="minorHAnsi"/>
          <w:b/>
          <w:lang w:eastAsia="de-DE" w:val="de-DE"/>
        </w:rPr>
      </w:pPr>
      <w:r>
        <w:rPr>
          <w:rFonts w:cstheme="minorHAnsi"/>
          <w:b/>
        </w:rPr>
        <w:t>B</w:t>
      </w:r>
      <w:r>
        <w:rPr>
          <w:rFonts w:cstheme="minorHAnsi"/>
          <w:b/>
        </w:rPr>
        <w:t xml:space="preserve">. </w:t>
      </w:r>
      <w:proofErr w:type="spellStart"/>
      <w:r>
        <w:rPr>
          <w:rFonts w:cstheme="minorHAnsi"/>
          <w:b/>
        </w:rPr>
        <w:t>Außergewöhnliche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Kosten</w:t>
      </w:r>
      <w:proofErr w:type="spellEnd"/>
    </w:p>
    <w:p w14:paraId="118413A6" w14:textId="77777777">
      <w:pPr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Zuschussempfänger sind berechtigt, bis zu 10% des Zuschusses einer auf Einheitenbeiträgen basierten Kostenart in die Kostenart „</w:t>
      </w:r>
      <w:r>
        <w:rPr>
          <w:rFonts w:cstheme="minorHAnsi"/>
          <w:lang w:val="de-DE"/>
        </w:rPr>
        <w:t>Außergewöhnliche Kosten</w:t>
      </w:r>
      <w:r>
        <w:rPr>
          <w:rFonts w:cstheme="minorHAnsi"/>
          <w:lang w:val="de-DE"/>
        </w:rPr>
        <w:t>“ zu übertragen, um Kosten zu decken, die mit dem Kauf oder der Miete von Ausrüstungen und/oder Dienstleistungen verbunden sind, die für die Durchführung der virtuellen Mobilitätsaktivitäten aufgrund von COVID-19 notwendig sind, auch wenn ursprünglich keine Kosten in der Kostenart „</w:t>
      </w:r>
      <w:r>
        <w:rPr>
          <w:rFonts w:cstheme="minorHAnsi"/>
          <w:lang w:val="de-DE"/>
        </w:rPr>
        <w:t>Außergewöhnliche Kosten</w:t>
      </w:r>
      <w:r>
        <w:rPr>
          <w:rFonts w:cstheme="minorHAnsi"/>
          <w:lang w:val="de-DE"/>
        </w:rPr>
        <w:t>“ angesetzt waren.</w:t>
      </w:r>
    </w:p>
    <w:p w14:paraId="12F27AB5" w14:textId="77777777">
      <w:pPr>
        <w:ind w:left="72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(a) </w:t>
      </w:r>
      <w:r>
        <w:rPr>
          <w:rFonts w:cstheme="minorHAnsi"/>
          <w:lang w:val="de-DE"/>
        </w:rPr>
        <w:t>Berechnung des Finanzhilfebetrags</w:t>
      </w:r>
      <w:r>
        <w:rPr>
          <w:rFonts w:cstheme="minorHAnsi"/>
          <w:lang w:val="de-DE"/>
        </w:rPr>
        <w:t xml:space="preserve">: </w:t>
      </w:r>
      <w:r>
        <w:rPr>
          <w:rFonts w:cstheme="minorHAnsi"/>
          <w:lang w:val="de-DE"/>
        </w:rPr>
        <w:t xml:space="preserve">Die tatsächlich angefallenen förderfähigen Kosten </w:t>
      </w:r>
      <w:r>
        <w:rPr>
          <w:rFonts w:cstheme="minorHAnsi"/>
          <w:lang w:val="de-DE"/>
        </w:rPr>
        <w:t xml:space="preserve">für den Kauf oder die Miete von Ausrüstungen und/oder Dienstleistungen </w:t>
      </w:r>
      <w:r>
        <w:rPr>
          <w:rFonts w:cstheme="minorHAnsi"/>
          <w:lang w:val="de-DE"/>
        </w:rPr>
        <w:t xml:space="preserve">werden zu </w:t>
      </w:r>
      <w:r>
        <w:rPr>
          <w:rFonts w:cstheme="minorHAnsi"/>
          <w:lang w:val="de-DE"/>
        </w:rPr>
        <w:t>75</w:t>
      </w:r>
      <w:r>
        <w:rPr>
          <w:rFonts w:cstheme="minorHAnsi"/>
          <w:lang w:val="de-DE"/>
        </w:rPr>
        <w:t>% erstattet.</w:t>
      </w:r>
    </w:p>
    <w:p w14:paraId="7B5A3C74" w14:textId="77777777">
      <w:pPr>
        <w:ind w:left="72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(b) Förderfähige Kosten: Kosten, die mit dem Kauf oder der Miete von Ausrüstungen und/oder Dienstleistungen verbunden sind, die für die Durchführung der virtuellen Mobilitätsaktivitäten notwendig sind.</w:t>
      </w:r>
    </w:p>
    <w:p w14:paraId="4FCE3204" w14:textId="77777777">
      <w:pPr>
        <w:ind w:left="72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(c) </w:t>
      </w:r>
      <w:r>
        <w:rPr>
          <w:rFonts w:cstheme="minorHAnsi"/>
          <w:lang w:val="de-DE"/>
        </w:rPr>
        <w:t xml:space="preserve">Belege: </w:t>
      </w:r>
      <w:r>
        <w:rPr>
          <w:rFonts w:cstheme="minorHAnsi"/>
          <w:lang w:val="de-DE"/>
        </w:rPr>
        <w:t>Rechnungen über die tatsächlich angefallenen Kosten, auf denen der Name und die Anschrift des Rechnungsausstellers, der Betrag und die Währung sowie das Rechnungsdatum ausgewiesen sind.</w:t>
      </w:r>
    </w:p>
    <w:p w14:paraId="68A6DB6B" w14:textId="615C9212">
      <w:pPr>
        <w:pStyle w:val="Aufzhlungszeichen"/>
        <w:ind w:left="720"/>
        <w:rPr>
          <w:rFonts w:asciiTheme="minorHAnsi" w:cstheme="minorHAnsi" w:hAnsiTheme="minorHAnsi"/>
          <w:b/>
          <w:sz w:val="22"/>
          <w:szCs w:val="22"/>
        </w:rPr>
      </w:pPr>
    </w:p>
    <w:p w14:paraId="57F3C0FE" w14:textId="510B2B8B">
      <w:pPr>
        <w:keepNext/>
        <w:keepLines/>
        <w:spacing w:after="0" w:line="240" w:lineRule="auto"/>
        <w:jc w:val="both"/>
        <w:rPr>
          <w:rFonts w:cstheme="minorHAnsi" w:eastAsia="Times New Roman"/>
        </w:rPr>
      </w:pPr>
      <w:r>
        <w:rPr>
          <w:rFonts w:cstheme="minorHAnsi" w:eastAsia="Times New Roman"/>
        </w:rPr>
        <w:t>UNTERSCHRIFTEN</w:t>
      </w:r>
    </w:p>
    <w:p w14:paraId="1F914571" w14:textId="77777777">
      <w:pPr>
        <w:keepNext/>
        <w:keepLines/>
        <w:spacing w:after="240" w:line="240" w:lineRule="auto"/>
        <w:jc w:val="both"/>
        <w:rPr>
          <w:rFonts w:cstheme="minorHAnsi"/>
          <w:lang w:val="en-GB"/>
        </w:rPr>
      </w:pPr>
      <w:r>
        <w:rPr>
          <w:rFonts w:cstheme="minorHAnsi" w:eastAsia="Times New Roman"/>
        </w:rPr>
        <w:tab/>
      </w:r>
      <w:r>
        <w:rPr>
          <w:rFonts w:cstheme="minorHAnsi" w:eastAsia="Times New Roman"/>
        </w:rPr>
        <w:br/>
      </w:r>
    </w:p>
    <w:p w14:paraId="7D7DBA60" w14:textId="77777777">
      <w:pPr>
        <w:keepNext/>
        <w:keepLines/>
        <w:spacing w:after="240" w:line="240" w:lineRule="auto"/>
        <w:jc w:val="both"/>
        <w:rPr>
          <w:rFonts w:cstheme="minorHAnsi"/>
          <w:lang w:val="en-GB"/>
        </w:rPr>
      </w:pPr>
      <w:bookmarkStart w:id="0" w:name="_GoBack"/>
      <w:bookmarkEnd w:id="0"/>
    </w:p>
    <w:sectPr>
      <w:pgSz w:h="15840" w:w="12240"/>
      <w:pgMar w:bottom="1440" w:footer="708" w:gutter="0" w:header="708" w:left="1440" w:right="1440" w:top="1440"/>
      <w:cols w:space="708"/>
      <w:docGrid w:linePitch="360"/>
    </w:sectPr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4711"/>
        <w:gridCol w:w="4639"/>
      </w:tblGrid>
      <w:tr w14:paraId="6AD266F9" w14:textId="77777777">
        <w:tc>
          <w:tcPr>
            <w:tcW w:type="dxa" w:w="4889"/>
            <w:shd w:color="auto" w:fill="auto" w:val="clear"/>
          </w:tcPr>
          <w:p w14:paraId="2321CAC2" w14:textId="6CCA6D0F">
            <w:pPr>
              <w:spacing w:after="240" w:line="240" w:lineRule="auto"/>
              <w:rPr>
                <w:rFonts w:cstheme="minorHAnsi" w:eastAsia="Times New Roman"/>
                <w:lang w:val="de-DE"/>
              </w:rPr>
            </w:pPr>
            <w:r>
              <w:rPr>
                <w:rFonts w:cstheme="minorHAnsi" w:eastAsia="Times New Roman"/>
                <w:lang w:val="de-DE"/>
              </w:rPr>
              <w:t>Für den Zuschussempfänger</w:t>
            </w:r>
            <w:r>
              <w:rPr>
                <w:rFonts w:cstheme="minorHAnsi" w:eastAsia="Times New Roman"/>
                <w:lang w:val="de-DE"/>
              </w:rPr>
              <w:br/>
            </w:r>
            <w:r>
              <w:rPr>
                <w:rFonts w:cstheme="minorHAnsi" w:eastAsia="Times New Roman"/>
                <w:i/>
                <w:color w:val="FF0000"/>
                <w:lang w:val="de-DE"/>
              </w:rPr>
              <w:t>Name, Vorname und Funktion der zeichnungsberechtigten Person bitte eingeben.</w:t>
            </w:r>
            <w:r>
              <w:rPr>
                <w:rFonts w:cstheme="minorHAnsi" w:eastAsia="Times New Roman"/>
                <w:b/>
                <w:color w:val="FF0000"/>
                <w:lang w:val="de-DE"/>
              </w:rPr>
              <w:t xml:space="preserve"> </w:t>
            </w:r>
          </w:p>
        </w:tc>
        <w:tc>
          <w:tcPr>
            <w:tcW w:type="dxa" w:w="4889"/>
            <w:shd w:color="auto" w:fill="auto" w:val="clear"/>
          </w:tcPr>
          <w:p w14:paraId="626C2B9F" w14:textId="77777777">
            <w:pPr>
              <w:spacing w:after="240" w:line="240" w:lineRule="auto"/>
              <w:rPr>
                <w:rFonts w:cstheme="minorHAnsi" w:eastAsia="Times New Roman"/>
                <w:lang w:val="de-DE"/>
              </w:rPr>
            </w:pPr>
            <w:r>
              <w:rPr>
                <w:rFonts w:cstheme="minorHAnsi" w:eastAsia="Times New Roman"/>
                <w:lang w:val="de-DE"/>
              </w:rPr>
              <w:t>Für die NA</w:t>
            </w:r>
            <w:r>
              <w:rPr>
                <w:rFonts w:cstheme="minorHAnsi" w:eastAsia="Times New Roman"/>
                <w:lang w:val="de-DE"/>
              </w:rPr>
              <w:br/>
            </w:r>
            <w:r>
              <w:rPr>
                <w:rFonts w:cstheme="minorHAnsi" w:eastAsia="Times New Roman"/>
                <w:b/>
                <w:lang w:val="de-DE"/>
              </w:rPr>
              <w:t>Jürgen van Capelle, Teamleiter</w:t>
            </w:r>
          </w:p>
        </w:tc>
      </w:tr>
      <w:tr w14:paraId="3CCBC418" w14:textId="77777777">
        <w:tc>
          <w:tcPr>
            <w:tcW w:type="dxa" w:w="4889"/>
            <w:shd w:color="auto" w:fill="auto" w:val="clear"/>
          </w:tcPr>
          <w:p w14:paraId="24C55419" w14:textId="77777777">
            <w:pPr>
              <w:spacing w:after="240" w:line="240" w:lineRule="auto"/>
              <w:rPr>
                <w:rFonts w:cstheme="minorHAnsi" w:eastAsia="Times New Roman"/>
                <w:lang w:val="de-DE"/>
              </w:rPr>
            </w:pPr>
            <w:r>
              <w:rPr>
                <w:rFonts w:cstheme="minorHAnsi" w:eastAsia="Times New Roman"/>
                <w:lang w:val="de-DE"/>
              </w:rPr>
              <w:t>Unterschrift</w:t>
            </w:r>
          </w:p>
        </w:tc>
        <w:tc>
          <w:tcPr>
            <w:tcW w:type="dxa" w:w="4889"/>
            <w:shd w:color="auto" w:fill="auto" w:val="clear"/>
          </w:tcPr>
          <w:p w14:paraId="4137FD74" w14:textId="77777777">
            <w:pPr>
              <w:spacing w:after="240" w:line="240" w:lineRule="auto"/>
              <w:rPr>
                <w:rFonts w:cstheme="minorHAnsi" w:eastAsia="Times New Roman"/>
                <w:lang w:val="de-DE"/>
              </w:rPr>
            </w:pPr>
            <w:r>
              <w:rPr>
                <w:rFonts w:cstheme="minorHAnsi" w:eastAsia="Times New Roman"/>
                <w:lang w:val="de-DE"/>
              </w:rPr>
              <w:t>Unterschrift</w:t>
            </w:r>
          </w:p>
          <w:p w14:paraId="1C0311BA" w14:textId="77777777">
            <w:pPr>
              <w:spacing w:after="240" w:line="240" w:lineRule="auto"/>
              <w:rPr>
                <w:rFonts w:cstheme="minorHAnsi" w:eastAsia="Times New Roman"/>
                <w:lang w:val="de-DE"/>
              </w:rPr>
            </w:pPr>
            <w:r>
              <w:rPr>
                <w:rFonts w:cstheme="minorHAnsi" w:eastAsia="Times New Roman"/>
                <w:lang w:val="de-DE"/>
              </w:rPr>
              <w:t>Im Auftrag</w:t>
            </w:r>
          </w:p>
        </w:tc>
      </w:tr>
      <w:tr w14:paraId="0F0616F5" w14:textId="77777777">
        <w:tc>
          <w:tcPr>
            <w:tcW w:type="dxa" w:w="4889"/>
            <w:shd w:color="auto" w:fill="auto" w:val="clear"/>
          </w:tcPr>
          <w:p w14:paraId="702E970C" w14:textId="77777777">
            <w:pPr>
              <w:spacing w:after="240" w:line="240" w:lineRule="auto"/>
              <w:rPr>
                <w:rFonts w:cstheme="minorHAnsi" w:eastAsia="Times New Roman"/>
                <w:lang w:val="de-DE"/>
              </w:rPr>
            </w:pPr>
            <w:r>
              <w:rPr>
                <w:rFonts w:cstheme="minorHAnsi" w:eastAsia="Times New Roman"/>
                <w:lang w:val="de-DE"/>
              </w:rPr>
              <w:t>Ort, Datum</w:t>
            </w:r>
          </w:p>
        </w:tc>
        <w:tc>
          <w:tcPr>
            <w:tcW w:type="dxa" w:w="4889"/>
            <w:shd w:color="auto" w:fill="auto" w:val="clear"/>
          </w:tcPr>
          <w:p w14:paraId="46658864" w14:textId="77777777">
            <w:pPr>
              <w:spacing w:after="240" w:line="240" w:lineRule="auto"/>
              <w:rPr>
                <w:rFonts w:cstheme="minorHAnsi" w:eastAsia="Times New Roman"/>
                <w:lang w:val="de-DE"/>
              </w:rPr>
            </w:pPr>
            <w:r>
              <w:rPr>
                <w:rFonts w:cstheme="minorHAnsi" w:eastAsia="Times New Roman"/>
                <w:lang w:val="de-DE"/>
              </w:rPr>
              <w:t xml:space="preserve">Ort, Datum </w:t>
            </w:r>
          </w:p>
          <w:p w14:paraId="402E46DC" w14:textId="77777777">
            <w:pPr>
              <w:spacing w:after="240" w:line="240" w:lineRule="auto"/>
              <w:rPr>
                <w:rFonts w:cstheme="minorHAnsi" w:eastAsia="Times New Roman"/>
                <w:lang w:val="de-DE"/>
              </w:rPr>
            </w:pPr>
            <w:r>
              <w:rPr>
                <w:rFonts w:cstheme="minorHAnsi" w:eastAsia="Times New Roman"/>
                <w:lang w:val="de-DE"/>
              </w:rPr>
              <w:t xml:space="preserve">Bonn, </w:t>
            </w:r>
          </w:p>
          <w:p w14:paraId="4A613A4A" w14:textId="77777777">
            <w:pPr>
              <w:spacing w:after="240" w:line="240" w:lineRule="auto"/>
              <w:rPr>
                <w:rFonts w:cstheme="minorHAnsi" w:eastAsia="Times New Roman"/>
                <w:lang w:val="de-DE"/>
              </w:rPr>
            </w:pPr>
          </w:p>
        </w:tc>
      </w:tr>
    </w:tbl>
  </w:body>
</w:document>
</file>

<file path=word/fontTable.xml><?xml version="1.0" encoding="utf-8"?>
<w:fonts xmlns:w="http://schemas.openxmlformats.org/wordprocessingml/2006/main">
  <w:font w:name="Symbol">
    <w:charset w:val="02"/>
    <w:family w:val="roman"/>
    <w:panose1 w:val="05050102010706020507"/>
    <w:pitch w:val="variable"/>
    <w:sig w:csb0="80000000" w:csb1="00000000" w:usb0="00000000" w:usb1="10000000" w:usb2="00000000" w:usb3="00000000"/>
  </w:font>
  <w:font w:name="Times New Roman">
    <w:charset w:val="00"/>
    <w:family w:val="roman"/>
    <w:panose1 w:val="02020603050405020304"/>
    <w:pitch w:val="variable"/>
    <w:sig w:csb0="000001FF" w:csb1="00000000" w:usb0="E0002EFF" w:usb1="C000785B" w:usb2="00000009" w:usb3="00000000"/>
  </w:font>
  <w:font w:name="Arial">
    <w:charset w:val="00"/>
    <w:family w:val="swiss"/>
    <w:panose1 w:val="020B0604020202020204"/>
    <w:pitch w:val="variable"/>
    <w:sig w:csb0="000001FF" w:csb1="00000000" w:usb0="E0002EFF" w:usb1="C000785B" w:usb2="00000009" w:usb3="00000000"/>
  </w:font>
  <w:font w:name="Wingdings">
    <w:charset w:val="02"/>
    <w:family w:val="auto"/>
    <w:panose1 w:val="05000000000000000000"/>
    <w:pitch w:val="variable"/>
    <w:sig w:csb0="80000000" w:csb1="00000000" w:usb0="00000000" w:usb1="10000000" w:usb2="00000000" w:usb3="00000000"/>
  </w:font>
  <w:font w:name="Courier New">
    <w:charset w:val="00"/>
    <w:family w:val="modern"/>
    <w:panose1 w:val="02070309020205020404"/>
    <w:pitch w:val="fixed"/>
    <w:sig w:csb0="000001FF" w:csb1="00000000" w:usb0="E0002EFF" w:usb1="C0007843" w:usb2="00000009" w:usb3="00000000"/>
  </w:font>
  <w:font w:name="Calibri">
    <w:charset w:val="00"/>
    <w:family w:val="swiss"/>
    <w:panose1 w:val="020F0502020204030204"/>
    <w:pitch w:val="variable"/>
    <w:sig w:csb0="000001FF" w:csb1="00000000" w:usb0="E4002EFF" w:usb1="C000247B" w:usb2="00000009" w:usb3="00000000"/>
  </w:font>
  <w:font w:name="SimSun">
    <w:altName w:val="宋体"/>
    <w:charset w:val="86"/>
    <w:family w:val="auto"/>
    <w:panose1 w:val="02010600030101010101"/>
    <w:pitch w:val="variable"/>
    <w:sig w:csb0="00040001" w:csb1="00000000" w:usb0="00000003" w:usb1="288F0000" w:usb2="00000016" w:usb3="00000000"/>
  </w:font>
  <w:font w:name="Segoe UI">
    <w:charset w:val="00"/>
    <w:family w:val="swiss"/>
    <w:panose1 w:val="020B0502040204020203"/>
    <w:pitch w:val="variable"/>
    <w:sig w:csb0="000001FF" w:csb1="00000000" w:usb0="E4002EFF" w:usb1="C000E47F" w:usb2="00000009" w:usb3="00000000"/>
  </w:font>
  <w:font w:name="Calibri Light">
    <w:charset w:val="00"/>
    <w:family w:val="swiss"/>
    <w:panose1 w:val="020F0302020204030204"/>
    <w:pitch w:val="variable"/>
    <w:sig w:csb0="000001FF" w:csb1="00000000" w:usb0="E4002EFF" w:usb1="C000247B" w:usb2="00000009" w:usb3="00000000"/>
  </w:font>
</w:fonts>
</file>

<file path=word/settings.xml><?xml version="1.0" encoding="utf-8"?>
<w:settings xmlns:m="http://schemas.openxmlformats.org/officeDocument/2006/math" xmlns:o="urn:schemas-microsoft-com:office:office" xmlns:v="urn:schemas-microsoft-com:vml" xmlns:w="http://schemas.openxmlformats.org/wordprocessingml/2006/main" xmlns:w14="http://schemas.microsoft.com/office/word/2010/wordml" xmlns:w15="http://schemas.microsoft.com/office/word/2012/wordml">
  <w:zoom w:percent="100"/>
  <w:proofState w:grammar="clean"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brkBin m:val="before"/>
    <m:brkBinSub m:val="--"/>
    <m:defJc m:val="centerGroup"/>
    <m:dispDef/>
    <m:intLim m:val="subSup"/>
    <m:lMargin m:val="0"/>
    <m:mathFont m:val="Cambria Math"/>
    <m:naryLim m:val="undOvr"/>
    <m:rMargin m:val="0"/>
    <m:smallFrac m:val="0"/>
    <m:wrapIndent m:val="1440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6C0FA2D2"/>
  <w15:chartTrackingRefBased/>
  <w15:docId w15:val="{877E4C48-C83D-464F-9FD3-C52CB6C2E65C}"/>
</w:settings>
</file>

<file path=word/styles.xml><?xml version="1.0" encoding="utf-8"?>
<w:styles xmlns:w="http://schemas.openxmlformats.org/wordprocessingml/2006/main">
  <w:docDefaults>
    <w:pPrDefault>
      <w:pPr>
        <w:spacing w:after="160" w:line="259" w:lineRule="auto"/>
      </w:pPr>
    </w:pPrDefault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0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Standard" w:type="paragraph">
    <w:name w:val="Normal"/>
    <w:qFormat/>
  </w:style>
  <w:style w:default="1" w:styleId="Absatz-Standardschriftart" w:type="character">
    <w:name w:val="Default Paragraph Font"/>
    <w:semiHidden/>
    <w:uiPriority w:val="1"/>
    <w:unhideWhenUsed/>
  </w:style>
  <w:style w:default="1" w:styleId="NormaleTabel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uiPriority w:val="99"/>
    <w:unhideWhenUsed/>
  </w:style>
  <w:style w:default="1" w:styleId="KeineListe" w:type="numbering">
    <w:name w:val="No List"/>
    <w:semiHidden/>
    <w:uiPriority w:val="99"/>
    <w:unhideWhenUsed/>
  </w:style>
  <w:style w:styleId="Aufzhlungszeichen" w:type="paragraph">
    <w:basedOn w:val="Standard"/>
    <w:name w:val="List Bullet"/>
    <w:pPr>
      <w:suppressAutoHyphens/>
      <w:spacing w:after="240" w:line="100" w:lineRule="atLeast"/>
      <w:jc w:val="both"/>
    </w:pPr>
    <w:rPr>
      <w:rFonts w:ascii="Times New Roman" w:cs="Times New Roman" w:eastAsia="Times New Roman" w:hAnsi="Times New Roman"/>
      <w:sz w:val="24"/>
      <w:szCs w:val="20"/>
      <w:lang w:eastAsia="ar-SA" w:val="en-GB"/>
    </w:rPr>
  </w:style>
  <w:style w:styleId="Listenabsatz" w:type="paragraph">
    <w:basedOn w:val="Standard"/>
    <w:name w:val="List Paragraph"/>
    <w:pPr>
      <w:suppressAutoHyphens/>
      <w:spacing w:after="0" w:line="100" w:lineRule="atLeast"/>
      <w:ind w:left="720"/>
    </w:pPr>
    <w:qFormat/>
    <w:rPr>
      <w:rFonts w:ascii="Calibri" w:cs="Calibri" w:eastAsia="SimSun" w:hAnsi="Calibri"/>
      <w:lang w:eastAsia="ar-SA" w:val="en-GB"/>
    </w:rPr>
  </w:style>
  <w:style w:styleId="StandardWeb" w:type="paragraph">
    <w:basedOn w:val="Standard"/>
    <w:name w:val="Normal (Web)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  <w:semiHidden/>
    <w:uiPriority w:val="99"/>
    <w:unhideWhenUsed/>
  </w:style>
  <w:style w:styleId="Sprechblasentext" w:type="paragraph">
    <w:basedOn w:val="Standard"/>
    <w:link w:val="SprechblasentextZchn"/>
    <w:name w:val="Balloon Text"/>
    <w:pPr>
      <w:spacing w:after="0" w:line="240" w:lineRule="auto"/>
    </w:pPr>
    <w:rPr>
      <w:rFonts w:ascii="Segoe UI" w:cs="Segoe UI" w:hAnsi="Segoe UI"/>
      <w:sz w:val="18"/>
      <w:szCs w:val="18"/>
    </w:rPr>
    <w:semiHidden/>
    <w:uiPriority w:val="99"/>
    <w:unhideWhenUsed/>
  </w:style>
  <w:style w:customStyle="1" w:styleId="SprechblasentextZchn" w:type="character">
    <w:basedOn w:val="Absatz-Standardschriftart"/>
    <w:link w:val="Sprechblasentext"/>
    <w:name w:val="Sprechblasentext Zchn"/>
    <w:rPr>
      <w:rFonts w:ascii="Segoe UI" w:cs="Segoe UI" w:hAnsi="Segoe UI"/>
      <w:sz w:val="18"/>
      <w:szCs w:val="18"/>
    </w:rPr>
    <w:semiHidden/>
    <w:uiPriority w:val="99"/>
  </w:style>
  <w:style w:styleId="Kommentarzeichen" w:type="character">
    <w:basedOn w:val="Absatz-Standardschriftart"/>
    <w:name w:val="annotation reference"/>
    <w:rPr>
      <w:sz w:val="16"/>
      <w:szCs w:val="16"/>
    </w:rPr>
    <w:semiHidden/>
    <w:uiPriority w:val="99"/>
    <w:unhideWhenUsed/>
  </w:style>
  <w:style w:styleId="Kommentartext" w:type="paragraph">
    <w:basedOn w:val="Standard"/>
    <w:link w:val="KommentartextZchn"/>
    <w:name w:val="annotation text"/>
    <w:pPr>
      <w:spacing w:line="240" w:lineRule="auto"/>
    </w:pPr>
    <w:rPr>
      <w:sz w:val="20"/>
      <w:szCs w:val="20"/>
    </w:rPr>
    <w:semiHidden/>
    <w:uiPriority w:val="99"/>
    <w:unhideWhenUsed/>
  </w:style>
  <w:style w:customStyle="1" w:styleId="KommentartextZchn" w:type="character">
    <w:basedOn w:val="Absatz-Standardschriftart"/>
    <w:link w:val="Kommentartext"/>
    <w:name w:val="Kommentartext Zchn"/>
    <w:rPr>
      <w:sz w:val="20"/>
      <w:szCs w:val="20"/>
    </w:rPr>
    <w:semiHidden/>
    <w:uiPriority w:val="99"/>
  </w:style>
  <w:style w:styleId="Kommentarthema" w:type="paragraph">
    <w:basedOn w:val="Kommentartext"/>
    <w:link w:val="KommentarthemaZchn"/>
    <w:name w:val="annotation subject"/>
    <w:next w:val="Kommentartext"/>
    <w:rPr>
      <w:b/>
      <w:bCs/>
    </w:rPr>
    <w:semiHidden/>
    <w:uiPriority w:val="99"/>
    <w:unhideWhenUsed/>
  </w:style>
  <w:style w:customStyle="1" w:styleId="KommentarthemaZchn" w:type="character">
    <w:basedOn w:val="KommentartextZchn"/>
    <w:link w:val="Kommentarthema"/>
    <w:name w:val="Kommentarthema Zchn"/>
    <w:rPr>
      <w:b/>
      <w:bCs/>
      <w:sz w:val="20"/>
      <w:szCs w:val="20"/>
    </w:rPr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