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c="http://schemas.openxmlformats.org/markup-compatibility/2006" xmlns:o="urn:schemas-microsoft-com:office:office" xmlns:r="http://schemas.openxmlformats.org/officeDocument/2006/relationships" xmlns:v="urn:schemas-microsoft-com:vml" xmlns:w="http://schemas.openxmlformats.org/wordprocessingml/2006/main" xmlns:w14="http://schemas.microsoft.com/office/word/2010/wordml" xmlns:wp="http://schemas.openxmlformats.org/drawingml/2006/wordprocessingDrawing" xmlns:wp14="http://schemas.microsoft.com/office/word/2010/wordprocessingDrawing" xmlns:wps="http://schemas.microsoft.com/office/word/2010/wordprocessingShape">
  <w:body>
    <w:p>
      <w:bookmarkStart w:id="0" w:name="_GoBack"/>
      <w:bookmarkEnd w:id="0"/>
    </w:p>
    <w:p>
      <w:pPr>
        <w:rPr>
          <w:rFonts w:eastAsiaTheme="minorEastAsia"/>
          <w:lang w:eastAsia="de-DE"/>
        </w:rPr>
      </w:pPr>
    </w:p>
    <w:p>
      <w:pPr>
        <w:rPr>
          <w:rFonts w:eastAsiaTheme="minorEastAsia"/>
          <w:lang w:eastAsia="de-DE"/>
        </w:rPr>
      </w:pPr>
    </w:p>
    <w:p>
      <w:pPr>
        <w:rPr>
          <w:rFonts w:eastAsiaTheme="minorEastAsia"/>
          <w:lang w:eastAsia="de-DE"/>
        </w:rPr>
      </w:pPr>
    </w:p>
    <w:p>
      <w:pPr>
        <w:rPr>
          <w:rFonts w:eastAsiaTheme="minorEastAsia"/>
          <w:lang w:eastAsia="de-DE"/>
        </w:rPr>
      </w:pPr>
    </w:p>
    <w:p>
      <w:pPr>
        <w:rPr>
          <w:rFonts w:eastAsiaTheme="minorEastAsia"/>
          <w:lang w:eastAsia="de-DE"/>
        </w:rPr>
      </w:pPr>
    </w:p>
    <w:p>
      <w:r>
        <w:br w:type="page"/>
      </w:r>
    </w:p>
    <w:p/>
    <w:p>
      <w:pPr>
        <w:rPr>
          <w:color w:themeColor="text2" w:themeShade="BF" w:val="17365D"/>
          <w:sz w:val="28"/>
          <w:szCs w:val="28"/>
        </w:rPr>
      </w:pPr>
      <w:r>
        <w:rPr>
          <w:color w:themeColor="text2" w:themeShade="BF" w:val="17365D"/>
          <w:sz w:val="28"/>
          <w:szCs w:val="28"/>
        </w:rPr>
        <w:t>Einführung</w:t>
      </w:r>
    </w:p>
    <w:p>
      <w:pPr>
        <w:rPr>
          <w:sz w:val="24"/>
          <w:szCs w:val="24"/>
        </w:rPr>
      </w:pPr>
      <w:r>
        <w:rPr>
          <w:sz w:val="24"/>
          <w:szCs w:val="24"/>
        </w:rPr>
        <w:t xml:space="preserve">Mit der neuen Programmgeneration </w:t>
      </w:r>
      <w:r>
        <w:rPr>
          <w:b/>
          <w:sz w:val="24"/>
          <w:szCs w:val="24"/>
        </w:rPr>
        <w:t>Erasmus+</w:t>
      </w:r>
      <w:r>
        <w:rPr>
          <w:sz w:val="24"/>
          <w:szCs w:val="24"/>
        </w:rPr>
        <w:t xml:space="preserve"> betont die Europäische Kommission die Bedeutung der Austausche und Kooperation</w:t>
      </w:r>
      <w:r>
        <w:rPr>
          <w:sz w:val="24"/>
          <w:szCs w:val="24"/>
        </w:rPr>
        <w:t>en</w:t>
      </w:r>
      <w:r>
        <w:rPr>
          <w:sz w:val="24"/>
          <w:szCs w:val="24"/>
        </w:rPr>
        <w:t xml:space="preserve"> über die Ländergrenzen hinweg. Den europäischen Bildungsraum zu stärken</w:t>
      </w:r>
      <w:r>
        <w:rPr>
          <w:sz w:val="24"/>
          <w:szCs w:val="24"/>
        </w:rPr>
        <w:t>,</w:t>
      </w:r>
      <w:r>
        <w:rPr>
          <w:sz w:val="24"/>
          <w:szCs w:val="24"/>
        </w:rPr>
        <w:t xml:space="preserve"> Ausbildungen oder Abschlüsse über die Ländergrenzen hinweg vergleichbar </w:t>
      </w:r>
      <w:r>
        <w:rPr>
          <w:sz w:val="24"/>
          <w:szCs w:val="24"/>
        </w:rPr>
        <w:t xml:space="preserve">zu machen </w:t>
      </w:r>
      <w:r>
        <w:rPr>
          <w:sz w:val="24"/>
          <w:szCs w:val="24"/>
        </w:rPr>
        <w:t xml:space="preserve">und </w:t>
      </w:r>
      <w:r>
        <w:rPr>
          <w:sz w:val="24"/>
          <w:szCs w:val="24"/>
        </w:rPr>
        <w:t xml:space="preserve">gegenseitiges </w:t>
      </w:r>
      <w:r>
        <w:rPr>
          <w:sz w:val="24"/>
          <w:szCs w:val="24"/>
        </w:rPr>
        <w:t xml:space="preserve">Vertrauen in die Ausbildungsqualität </w:t>
      </w:r>
      <w:r>
        <w:rPr>
          <w:sz w:val="24"/>
          <w:szCs w:val="24"/>
        </w:rPr>
        <w:t>zu vertiefen</w:t>
      </w:r>
      <w:r>
        <w:rPr>
          <w:sz w:val="24"/>
          <w:szCs w:val="24"/>
        </w:rPr>
        <w:t xml:space="preserve"> </w:t>
      </w:r>
      <w:r>
        <w:rPr>
          <w:sz w:val="24"/>
          <w:szCs w:val="24"/>
        </w:rPr>
        <w:t xml:space="preserve">sind wichtige Ziele in der europäischen Bildungspolitik bis 2020. </w:t>
      </w:r>
    </w:p>
    <w:p>
      <w:pPr>
        <w:rPr>
          <w:sz w:val="24"/>
          <w:szCs w:val="24"/>
        </w:rPr>
      </w:pPr>
      <w:r>
        <w:rPr>
          <w:sz w:val="24"/>
          <w:szCs w:val="24"/>
        </w:rPr>
        <w:t xml:space="preserve">Die gute finanzielle Ausstattung des Programms Erasmus+ </w:t>
      </w:r>
      <w:r>
        <w:rPr>
          <w:sz w:val="24"/>
          <w:szCs w:val="24"/>
        </w:rPr>
        <w:t xml:space="preserve">ist </w:t>
      </w:r>
      <w:r>
        <w:rPr>
          <w:sz w:val="24"/>
          <w:szCs w:val="24"/>
        </w:rPr>
        <w:t xml:space="preserve">verbunden mit deutlichen Erwartungen an eine institutionelle Entwicklung der Bildungseinrichtungen und letztlich auch des Einflusses </w:t>
      </w:r>
      <w:r>
        <w:rPr>
          <w:sz w:val="24"/>
          <w:szCs w:val="24"/>
        </w:rPr>
        <w:t>der</w:t>
      </w:r>
      <w:r>
        <w:rPr>
          <w:sz w:val="24"/>
          <w:szCs w:val="24"/>
        </w:rPr>
        <w:t xml:space="preserve"> starken internationalen Zusammenarbeit auf nationale Bildungssysteme. </w:t>
      </w:r>
    </w:p>
    <w:p>
      <w:pPr>
        <w:rPr>
          <w:sz w:val="24"/>
          <w:szCs w:val="24"/>
        </w:rPr>
      </w:pPr>
      <w:r>
        <w:rPr>
          <w:sz w:val="24"/>
          <w:szCs w:val="24"/>
        </w:rPr>
        <w:t xml:space="preserve">Im Bereich der </w:t>
      </w:r>
      <w:r>
        <w:rPr>
          <w:b/>
          <w:sz w:val="24"/>
          <w:szCs w:val="24"/>
        </w:rPr>
        <w:t>Mobilität in der Berufsbildung</w:t>
      </w:r>
      <w:r>
        <w:rPr>
          <w:sz w:val="24"/>
          <w:szCs w:val="24"/>
        </w:rPr>
        <w:t xml:space="preserve"> spiege</w:t>
      </w:r>
      <w:r>
        <w:rPr>
          <w:sz w:val="24"/>
          <w:szCs w:val="24"/>
        </w:rPr>
        <w:t>l</w:t>
      </w:r>
      <w:r>
        <w:rPr>
          <w:sz w:val="24"/>
          <w:szCs w:val="24"/>
        </w:rPr>
        <w:t xml:space="preserve">t die Einführung der </w:t>
      </w:r>
      <w:r>
        <w:rPr>
          <w:b/>
          <w:sz w:val="24"/>
          <w:szCs w:val="24"/>
        </w:rPr>
        <w:t>Mobilitätscharta</w:t>
      </w:r>
      <w:r>
        <w:rPr>
          <w:sz w:val="24"/>
          <w:szCs w:val="24"/>
        </w:rPr>
        <w:t xml:space="preserve"> genau dies wider. </w:t>
      </w:r>
      <w:r>
        <w:rPr>
          <w:sz w:val="24"/>
          <w:szCs w:val="24"/>
        </w:rPr>
        <w:t>Einrichtungen</w:t>
      </w:r>
      <w:r>
        <w:rPr>
          <w:sz w:val="24"/>
          <w:szCs w:val="24"/>
        </w:rPr>
        <w:t xml:space="preserve">, die die eigene Internationalisierung gestalten </w:t>
      </w:r>
      <w:r>
        <w:rPr>
          <w:sz w:val="24"/>
          <w:szCs w:val="24"/>
        </w:rPr>
        <w:t>werden</w:t>
      </w:r>
      <w:r>
        <w:rPr>
          <w:sz w:val="24"/>
          <w:szCs w:val="24"/>
        </w:rPr>
        <w:t xml:space="preserve"> und </w:t>
      </w:r>
      <w:r>
        <w:rPr>
          <w:sz w:val="24"/>
          <w:szCs w:val="24"/>
        </w:rPr>
        <w:t xml:space="preserve">gute Erfahrung in der Durchführung von Mobilitätsprojekten </w:t>
      </w:r>
      <w:r>
        <w:rPr>
          <w:sz w:val="24"/>
          <w:szCs w:val="24"/>
        </w:rPr>
        <w:t xml:space="preserve">vorweisen können, </w:t>
      </w:r>
      <w:r>
        <w:rPr>
          <w:sz w:val="24"/>
          <w:szCs w:val="24"/>
        </w:rPr>
        <w:t xml:space="preserve">erreichen durch die Mobilitätscharta administrative Erleichterungen bei der Durchführung </w:t>
      </w:r>
      <w:r>
        <w:rPr>
          <w:sz w:val="24"/>
          <w:szCs w:val="24"/>
        </w:rPr>
        <w:t xml:space="preserve">und eine </w:t>
      </w:r>
      <w:r>
        <w:rPr>
          <w:sz w:val="24"/>
          <w:szCs w:val="24"/>
        </w:rPr>
        <w:t xml:space="preserve">langfristige Förderperspektive. </w:t>
      </w:r>
      <w:r>
        <w:rPr>
          <w:sz w:val="24"/>
          <w:szCs w:val="24"/>
        </w:rPr>
        <w:t xml:space="preserve">Dafür </w:t>
      </w:r>
      <w:r>
        <w:rPr>
          <w:sz w:val="24"/>
          <w:szCs w:val="24"/>
        </w:rPr>
        <w:t xml:space="preserve">verpflichten </w:t>
      </w:r>
      <w:r>
        <w:rPr>
          <w:sz w:val="24"/>
          <w:szCs w:val="24"/>
        </w:rPr>
        <w:t xml:space="preserve">sie </w:t>
      </w:r>
      <w:r>
        <w:rPr>
          <w:sz w:val="24"/>
          <w:szCs w:val="24"/>
        </w:rPr>
        <w:t xml:space="preserve">sich </w:t>
      </w:r>
      <w:r>
        <w:rPr>
          <w:sz w:val="24"/>
          <w:szCs w:val="24"/>
        </w:rPr>
        <w:t xml:space="preserve">auf einen hohen Qualitätsstandard in der Projektdurchführung und die Umsetzung ihrer Internationalisierungsstrategie. </w:t>
      </w:r>
      <w:r>
        <w:rPr>
          <w:sz w:val="24"/>
          <w:szCs w:val="24"/>
        </w:rPr>
        <w:t xml:space="preserve">Die Mobilitätscharta </w:t>
      </w:r>
      <w:r>
        <w:rPr>
          <w:sz w:val="24"/>
          <w:szCs w:val="24"/>
        </w:rPr>
        <w:t xml:space="preserve">wird so zu einem </w:t>
      </w:r>
      <w:r>
        <w:rPr>
          <w:b/>
          <w:sz w:val="24"/>
          <w:szCs w:val="24"/>
        </w:rPr>
        <w:t>wichtigen Label mit Wirkung nach innen und außen</w:t>
      </w:r>
      <w:r>
        <w:rPr>
          <w:sz w:val="24"/>
          <w:szCs w:val="24"/>
        </w:rPr>
        <w:t>.</w:t>
      </w:r>
    </w:p>
    <w:p>
      <w:pPr>
        <w:rPr>
          <w:sz w:val="24"/>
          <w:szCs w:val="24"/>
        </w:rPr>
      </w:pPr>
      <w:r>
        <w:rPr>
          <w:sz w:val="24"/>
          <w:szCs w:val="24"/>
        </w:rPr>
        <w:t>Nutzen Sie d</w:t>
      </w:r>
      <w:r>
        <w:rPr>
          <w:sz w:val="24"/>
          <w:szCs w:val="24"/>
        </w:rPr>
        <w:t xml:space="preserve">ie Handreichung </w:t>
      </w:r>
      <w:r>
        <w:rPr>
          <w:b/>
          <w:i/>
          <w:sz w:val="24"/>
          <w:szCs w:val="24"/>
        </w:rPr>
        <w:t xml:space="preserve">Selbsteinschätzung </w:t>
      </w:r>
      <w:r>
        <w:rPr>
          <w:b/>
          <w:i/>
          <w:sz w:val="24"/>
          <w:szCs w:val="24"/>
        </w:rPr>
        <w:t>Internationalisierung in b</w:t>
      </w:r>
      <w:r>
        <w:rPr>
          <w:b/>
          <w:i/>
          <w:sz w:val="24"/>
          <w:szCs w:val="24"/>
        </w:rPr>
        <w:t>erufsbildenden Einrichtungen</w:t>
      </w:r>
      <w:r>
        <w:rPr>
          <w:sz w:val="24"/>
          <w:szCs w:val="24"/>
        </w:rPr>
        <w:t xml:space="preserve"> </w:t>
      </w:r>
      <w:r>
        <w:rPr>
          <w:sz w:val="24"/>
          <w:szCs w:val="24"/>
        </w:rPr>
        <w:t>zur Vorbereitung</w:t>
      </w:r>
      <w:r>
        <w:rPr>
          <w:sz w:val="24"/>
          <w:szCs w:val="24"/>
        </w:rPr>
        <w:t xml:space="preserve"> auf die Antragstellung</w:t>
      </w:r>
      <w:r>
        <w:rPr>
          <w:sz w:val="24"/>
          <w:szCs w:val="24"/>
        </w:rPr>
        <w:t xml:space="preserve">: Wir haben eine Reihe von möglichen Kriterien zusammengetragen, die internationale Arbeit in einer Einrichtung über das Durchführen von Mobilitäten hinaus beschreiben können. Diese Arbeitsunterlage soll Sie dabei unterstützen, den heutigen Stand in der Einrichtung </w:t>
      </w:r>
      <w:r>
        <w:rPr>
          <w:sz w:val="24"/>
          <w:szCs w:val="24"/>
        </w:rPr>
        <w:t xml:space="preserve">festzustellen, um davon ausgehend Schwerpunkte und Ziele für die Entwicklung der Einrichtung bis 2020 zu setzen (solange wird die Mobilitätscharta gelten). </w:t>
      </w:r>
    </w:p>
    <w:p>
      <w:pPr>
        <w:rPr>
          <w:sz w:val="24"/>
          <w:szCs w:val="24"/>
        </w:rPr>
      </w:pPr>
      <w:r>
        <w:rPr>
          <w:sz w:val="24"/>
          <w:szCs w:val="24"/>
        </w:rPr>
        <w:t xml:space="preserve">Prozesse in Einrichtungen anzustoßen und zu steuern ist immer ein gemeinsames Werk. Ein strategisches Papier </w:t>
      </w:r>
      <w:r>
        <w:rPr>
          <w:sz w:val="24"/>
          <w:szCs w:val="24"/>
        </w:rPr>
        <w:t xml:space="preserve">der Leitung kann </w:t>
      </w:r>
      <w:r>
        <w:rPr>
          <w:sz w:val="24"/>
          <w:szCs w:val="24"/>
        </w:rPr>
        <w:t xml:space="preserve">ohne Akzeptanz auf </w:t>
      </w:r>
      <w:r>
        <w:rPr>
          <w:sz w:val="24"/>
          <w:szCs w:val="24"/>
        </w:rPr>
        <w:t xml:space="preserve">Arbeitsebene </w:t>
      </w:r>
      <w:r>
        <w:rPr>
          <w:sz w:val="24"/>
          <w:szCs w:val="24"/>
        </w:rPr>
        <w:t>nicht bestehen.</w:t>
      </w:r>
      <w:r>
        <w:rPr>
          <w:sz w:val="24"/>
          <w:szCs w:val="24"/>
        </w:rPr>
        <w:t xml:space="preserve"> Eine eigene Standortbestimmung kann das Ergebnis eines gemeinsamen Austausches sein, die Festlegung auf strategische Ziele erfolgt mit der Leitungsebene. </w:t>
      </w:r>
      <w:r>
        <w:rPr>
          <w:sz w:val="24"/>
          <w:szCs w:val="24"/>
        </w:rPr>
        <w:t xml:space="preserve">Im Zusammenhang mit der Beantragung der Mobilitätscharta geht es nicht darum, </w:t>
      </w:r>
      <w:r>
        <w:rPr>
          <w:sz w:val="24"/>
          <w:szCs w:val="24"/>
        </w:rPr>
        <w:t>von Programmseite vorgegebene Anforderungen zu erreichen</w:t>
      </w:r>
      <w:r>
        <w:rPr>
          <w:sz w:val="24"/>
          <w:szCs w:val="24"/>
        </w:rPr>
        <w:t>. Es geht darum, den</w:t>
      </w:r>
      <w:r>
        <w:rPr>
          <w:sz w:val="24"/>
          <w:szCs w:val="24"/>
        </w:rPr>
        <w:t xml:space="preserve"> eigenen</w:t>
      </w:r>
      <w:r>
        <w:rPr>
          <w:sz w:val="24"/>
          <w:szCs w:val="24"/>
        </w:rPr>
        <w:t xml:space="preserve"> Ist-Stand zu erfassen und für die Einrichtung</w:t>
      </w:r>
      <w:r>
        <w:rPr>
          <w:sz w:val="24"/>
          <w:szCs w:val="24"/>
        </w:rPr>
        <w:t xml:space="preserve"> eine ambitionierte, aber </w:t>
      </w:r>
      <w:r>
        <w:rPr>
          <w:sz w:val="24"/>
          <w:szCs w:val="24"/>
        </w:rPr>
        <w:t xml:space="preserve">realistische Entwicklung für die nächsten Jahre aufzuzeigen: Im Ziel nicht zu klein und nicht zu groß, heruntergebrochen in Teilschritte, die erreicht und im Sinne einer gelungenen Zielführung überprüft werden können. </w:t>
      </w:r>
    </w:p>
    <w:p/>
    <w:p>
      <w:r>
        <w:br w:type="page"/>
      </w:r>
    </w:p>
    <w:p/>
    <w:p>
      <w:pPr>
        <w:rPr>
          <w:sz w:val="28"/>
          <w:szCs w:val="28"/>
        </w:rPr>
      </w:pPr>
      <w:r>
        <w:rPr>
          <w:color w:themeColor="text2" w:themeShade="BF" w:val="17365D"/>
          <w:sz w:val="28"/>
          <w:szCs w:val="28"/>
        </w:rPr>
        <w:t xml:space="preserve">Wie </w:t>
      </w:r>
      <w:r>
        <w:rPr>
          <w:color w:themeColor="text2" w:themeShade="BF" w:val="17365D"/>
          <w:sz w:val="28"/>
          <w:szCs w:val="28"/>
        </w:rPr>
        <w:t>kann die Handreichung eingesetzt werden?</w:t>
      </w:r>
      <w:r>
        <w:rPr>
          <w:color w:themeColor="text2" w:themeShade="BF" w:val="17365D"/>
          <w:sz w:val="28"/>
          <w:szCs w:val="28"/>
        </w:rPr>
        <w:t xml:space="preserve"> </w:t>
      </w:r>
      <w:r>
        <w:rPr>
          <w:sz w:val="28"/>
          <w:szCs w:val="28"/>
        </w:rPr>
        <w:t xml:space="preserve"> </w:t>
      </w:r>
    </w:p>
    <w:p>
      <w:pPr>
        <w:rPr>
          <w:sz w:val="24"/>
          <w:szCs w:val="24"/>
        </w:rPr>
      </w:pPr>
      <w:r>
        <w:rPr>
          <w:sz w:val="24"/>
          <w:szCs w:val="24"/>
        </w:rPr>
        <w:t xml:space="preserve">Die Handreichung besteht im Wesentlichen aus einer Auflistung von Aussagen, die die internationale Arbeit in Einrichtungen beschreiben können. </w:t>
      </w:r>
      <w:r>
        <w:rPr>
          <w:sz w:val="24"/>
          <w:szCs w:val="24"/>
        </w:rPr>
        <w:t>Sie zeigt</w:t>
      </w:r>
      <w:r>
        <w:rPr>
          <w:sz w:val="24"/>
          <w:szCs w:val="24"/>
        </w:rPr>
        <w:t xml:space="preserve"> ein mögliches Spektrum auf und </w:t>
      </w:r>
      <w:r>
        <w:rPr>
          <w:sz w:val="24"/>
          <w:szCs w:val="24"/>
        </w:rPr>
        <w:t>ist</w:t>
      </w:r>
      <w:r>
        <w:rPr>
          <w:sz w:val="24"/>
          <w:szCs w:val="24"/>
        </w:rPr>
        <w:t xml:space="preserve"> nicht im Sinne einer vollständigen Aufzählung zu verstehen.  </w:t>
      </w:r>
    </w:p>
    <w:p>
      <w:pPr>
        <w:rPr>
          <w:sz w:val="24"/>
          <w:szCs w:val="24"/>
        </w:rPr>
      </w:pPr>
      <w:r>
        <w:rPr>
          <w:sz w:val="24"/>
          <w:szCs w:val="24"/>
        </w:rPr>
        <w:t>Die Zuordnung zu vier Gliederungspunkten soll die Übersicht erleichtern</w:t>
      </w:r>
      <w:r>
        <w:rPr>
          <w:sz w:val="24"/>
          <w:szCs w:val="24"/>
        </w:rPr>
        <w:t xml:space="preserve">. </w:t>
      </w:r>
      <w:r>
        <w:rPr>
          <w:sz w:val="24"/>
          <w:szCs w:val="24"/>
        </w:rPr>
        <w:t xml:space="preserve">Die Formulierungen zielen stark </w:t>
      </w:r>
      <w:r>
        <w:rPr>
          <w:sz w:val="24"/>
          <w:szCs w:val="24"/>
        </w:rPr>
        <w:t xml:space="preserve">ab </w:t>
      </w:r>
      <w:r>
        <w:rPr>
          <w:sz w:val="24"/>
          <w:szCs w:val="24"/>
        </w:rPr>
        <w:t>auf Beruf</w:t>
      </w:r>
      <w:r>
        <w:rPr>
          <w:sz w:val="24"/>
          <w:szCs w:val="24"/>
        </w:rPr>
        <w:t>ss</w:t>
      </w:r>
      <w:r>
        <w:rPr>
          <w:sz w:val="24"/>
          <w:szCs w:val="24"/>
        </w:rPr>
        <w:t>chulen. Gegebenenfalls hilft die Änderung einer Formulierung, um die Umschreibung für den betrieblichen Zusammenhang oder für einen Bildungsanbieter treffender zu beschreiben.</w:t>
      </w:r>
    </w:p>
    <w:p>
      <w:pPr>
        <w:rPr>
          <w:sz w:val="24"/>
          <w:szCs w:val="24"/>
        </w:rPr>
      </w:pPr>
    </w:p>
    <w:p>
      <w:pPr>
        <w:rPr>
          <w:sz w:val="24"/>
          <w:szCs w:val="24"/>
        </w:rPr>
      </w:pPr>
      <w:r>
        <w:rPr>
          <w:sz w:val="24"/>
          <w:szCs w:val="24"/>
        </w:rPr>
        <w:t>Sc</w:t>
      </w:r>
      <w:r>
        <w:rPr>
          <w:sz w:val="24"/>
          <w:szCs w:val="24"/>
        </w:rPr>
        <w:t>h</w:t>
      </w:r>
      <w:r>
        <w:rPr>
          <w:sz w:val="24"/>
          <w:szCs w:val="24"/>
        </w:rPr>
        <w:t>ätzen Sie auf einer 5-er Skala ein, wie Sie Ihre Einrichtung in diesem Punkt wahrnehmen:</w:t>
      </w:r>
    </w:p>
    <w:p>
      <w:pPr>
        <w:rPr>
          <w:sz w:val="24"/>
          <w:szCs w:val="24"/>
        </w:rPr>
      </w:pPr>
    </w:p>
    <w:p>
      <w:r>
        <w:t xml:space="preserve">Je weiter links Ihr Kreuz in der </w:t>
      </w:r>
      <w:r>
        <w:t>Tabelle</w:t>
      </w:r>
      <w:r>
        <w:t xml:space="preserve"> (</w:t>
      </w:r>
      <w:r>
        <w:t>ab Seite 6</w:t>
      </w:r>
      <w:r>
        <w:t>)</w:t>
      </w:r>
      <w:r>
        <w:t xml:space="preserve"> sitzt, desto mehr Entwick</w:t>
      </w:r>
      <w:r>
        <w:t>lungspotential birgt der Punkt.</w:t>
      </w:r>
    </w:p>
    <w:p>
      <w:pPr>
        <w:spacing w:after="0"/>
      </w:pPr>
    </w:p>
    <w:p>
      <w:pPr>
        <w:rPr>
          <w:b/>
          <w:color w:themeColor="text2" w:themeShade="BF" w:val="17365D"/>
          <w:sz w:val="28"/>
          <w:szCs w:val="28"/>
        </w:rPr>
      </w:pPr>
      <w:r>
        <w:rPr>
          <w:b/>
          <w:color w:themeColor="text2" w:themeShade="BF" w:val="17365D"/>
          <w:sz w:val="28"/>
          <w:szCs w:val="28"/>
        </w:rPr>
        <w:t xml:space="preserve">So können Sie von einer Bearbeitung profitieren: </w:t>
      </w:r>
    </w:p>
    <w:p>
      <w:r>
        <w:br w:type="page"/>
      </w:r>
    </w:p>
    <w:p>
      <w:pPr>
        <w:spacing w:after="120"/>
        <w:rPr>
          <w:color w:themeColor="text2" w:themeShade="BF" w:val="17365D"/>
          <w:sz w:val="28"/>
          <w:szCs w:val="28"/>
        </w:rPr>
      </w:pPr>
    </w:p>
    <w:p>
      <w:pPr>
        <w:spacing w:after="120"/>
        <w:rPr>
          <w:color w:themeColor="text2" w:themeShade="BF" w:val="17365D"/>
        </w:rPr>
      </w:pPr>
      <w:r>
        <w:rPr>
          <w:color w:themeColor="text2" w:themeShade="BF" w:val="17365D"/>
          <w:sz w:val="28"/>
          <w:szCs w:val="28"/>
        </w:rPr>
        <w:t>Kreativität ist erlaubt!</w:t>
      </w:r>
      <w:r>
        <w:rPr>
          <w:color w:themeColor="text2" w:themeShade="BF" w:val="17365D"/>
        </w:rPr>
        <w:t xml:space="preserve"> </w:t>
      </w:r>
    </w:p>
    <w:p>
      <w:pPr>
        <w:spacing w:after="120"/>
        <w:rPr>
          <w:sz w:val="24"/>
          <w:szCs w:val="24"/>
        </w:rPr>
      </w:pPr>
      <w:r>
        <w:rPr>
          <w:sz w:val="24"/>
          <w:szCs w:val="24"/>
        </w:rPr>
        <w:t>Passen Sie das Dokument für Ihre Zwecke an</w:t>
      </w:r>
      <w:r>
        <w:rPr>
          <w:sz w:val="24"/>
          <w:szCs w:val="24"/>
        </w:rPr>
        <w:t>, vieles ist möglich:</w:t>
      </w:r>
    </w:p>
    <w:p>
      <w:pPr>
        <w:spacing w:after="120"/>
        <w:rPr>
          <w:sz w:val="24"/>
          <w:szCs w:val="24"/>
        </w:rPr>
      </w:pPr>
      <w:r>
        <w:rPr>
          <w:sz w:val="24"/>
          <w:szCs w:val="24"/>
        </w:rPr>
        <w:t xml:space="preserve">Zeilen oder Spalten </w:t>
      </w:r>
      <w:r>
        <w:rPr>
          <w:sz w:val="24"/>
          <w:szCs w:val="24"/>
        </w:rPr>
        <w:t>einfügen</w:t>
      </w:r>
      <w:r>
        <w:rPr>
          <w:sz w:val="24"/>
          <w:szCs w:val="24"/>
        </w:rPr>
        <w:t xml:space="preserve">, Farbe ändern, Kriterien hinzufügen, Skala ändern </w:t>
      </w:r>
    </w:p>
    <w:p>
      <w:pPr>
        <w:spacing w:after="120"/>
        <w:rPr>
          <w:sz w:val="20"/>
          <w:szCs w:val="20"/>
        </w:rPr>
      </w:pPr>
      <w:r>
        <w:rPr>
          <w:sz w:val="20"/>
          <w:szCs w:val="20"/>
        </w:rPr>
        <w:t>(</w:t>
      </w:r>
      <w:r>
        <w:rPr>
          <w:sz w:val="20"/>
          <w:szCs w:val="20"/>
        </w:rPr>
        <w:t>Tabellenfunktionen in Word oder Tabellen nach Excel</w:t>
      </w:r>
      <w:r>
        <w:rPr>
          <w:sz w:val="20"/>
          <w:szCs w:val="20"/>
        </w:rPr>
        <w:t xml:space="preserve"> kopieren).</w:t>
      </w:r>
      <w:r>
        <w:rPr>
          <w:sz w:val="20"/>
          <w:szCs w:val="20"/>
        </w:rPr>
        <w:t xml:space="preserve"> </w:t>
      </w:r>
    </w:p>
    <w:p>
      <w:pPr>
        <w:spacing w:after="120"/>
      </w:pPr>
    </w:p>
    <w:p>
      <w:pPr>
        <w:spacing w:after="120"/>
      </w:pPr>
    </w:p>
    <w:p>
      <w:pPr>
        <w:spacing w:after="120"/>
        <w:rPr>
          <w:color w:themeColor="text2" w:themeShade="BF" w:val="17365D"/>
          <w:sz w:val="28"/>
          <w:szCs w:val="28"/>
        </w:rPr>
      </w:pPr>
      <w:r>
        <w:rPr>
          <w:color w:themeColor="text2" w:themeShade="BF" w:val="17365D"/>
          <w:sz w:val="28"/>
          <w:szCs w:val="28"/>
        </w:rPr>
        <w:t>Mehr Ideen</w:t>
      </w:r>
    </w:p>
    <w:p>
      <w:pPr>
        <w:spacing w:after="120"/>
        <w:rPr>
          <w:sz w:val="24"/>
          <w:szCs w:val="24"/>
        </w:rPr>
      </w:pPr>
      <w:r>
        <w:rPr>
          <w:sz w:val="24"/>
          <w:szCs w:val="24"/>
        </w:rPr>
        <w:t xml:space="preserve">Von europäischer Seite wird </w:t>
      </w:r>
      <w:r>
        <w:rPr>
          <w:sz w:val="24"/>
          <w:szCs w:val="24"/>
        </w:rPr>
        <w:t xml:space="preserve">zum Thema Internationalisierung in berufsbildenden Einrichtungen </w:t>
      </w:r>
      <w:r>
        <w:rPr>
          <w:sz w:val="24"/>
          <w:szCs w:val="24"/>
        </w:rPr>
        <w:t xml:space="preserve">noch auf </w:t>
      </w:r>
      <w:r>
        <w:rPr>
          <w:sz w:val="24"/>
          <w:szCs w:val="24"/>
        </w:rPr>
        <w:t>unterstützende Unte</w:t>
      </w:r>
      <w:r>
        <w:rPr>
          <w:sz w:val="24"/>
          <w:szCs w:val="24"/>
        </w:rPr>
        <w:t xml:space="preserve">rlagen </w:t>
      </w:r>
      <w:r>
        <w:rPr>
          <w:sz w:val="24"/>
          <w:szCs w:val="24"/>
        </w:rPr>
        <w:t>aus Finnland hingewiesen:</w:t>
      </w:r>
      <w:r>
        <w:rPr>
          <w:rFonts w:ascii="Calibri" w:cs="Calibri" w:hAnsi="Calibri"/>
          <w:color w:val="000000"/>
        </w:rPr>
        <w:br/>
      </w:r>
    </w:p>
    <w:p>
      <w:pPr>
        <w:pStyle w:val="Listenabsatz"/>
        <w:spacing w:after="120"/>
        <w:ind w:left="644"/>
      </w:pPr>
      <w:r>
        <w:rPr>
          <w:sz w:val="24"/>
          <w:szCs w:val="24"/>
        </w:rPr>
        <w:t>Ein anschaulicher Leitfaden für die strategische Planung von</w:t>
      </w:r>
      <w:r>
        <w:rPr>
          <w:sz w:val="24"/>
          <w:szCs w:val="24"/>
        </w:rPr>
        <w:t xml:space="preserve"> internationaler Zusammenarbeit wurde</w:t>
      </w:r>
      <w:r>
        <w:rPr>
          <w:sz w:val="24"/>
          <w:szCs w:val="24"/>
        </w:rPr>
        <w:t xml:space="preserve"> in Finnland entwickelt</w:t>
      </w:r>
      <w:r>
        <w:rPr>
          <w:sz w:val="24"/>
          <w:szCs w:val="24"/>
        </w:rPr>
        <w:t>:</w:t>
      </w:r>
      <w:r>
        <w:rPr>
          <w:sz w:val="24"/>
          <w:szCs w:val="24"/>
        </w:rPr>
        <w:br/>
      </w:r>
      <w:hyperlink r:id="rId8" w:history="1">
        <w:r>
          <w:rPr>
            <w:rStyle w:val="Hyperlink"/>
          </w:rPr>
          <w:t>http://www.cimo.fi/services/publications/strength_from_international_cooperation</w:t>
        </w:r>
      </w:hyperlink>
    </w:p>
    <w:p>
      <w:pPr>
        <w:spacing w:after="120"/>
      </w:pPr>
    </w:p>
    <w:p>
      <w:pPr>
        <w:spacing w:after="120"/>
      </w:pPr>
    </w:p>
    <w:p>
      <w:pPr>
        <w:spacing w:after="120"/>
        <w:rPr>
          <w:color w:themeColor="text2" w:themeShade="BF" w:val="17365D"/>
          <w:sz w:val="28"/>
          <w:szCs w:val="28"/>
        </w:rPr>
      </w:pPr>
      <w:r>
        <w:rPr>
          <w:color w:themeColor="text2" w:themeShade="BF" w:val="17365D"/>
          <w:sz w:val="28"/>
          <w:szCs w:val="28"/>
        </w:rPr>
        <w:t>Beratung</w:t>
      </w:r>
    </w:p>
    <w:p>
      <w:pPr>
        <w:spacing w:after="120"/>
        <w:rPr>
          <w:rFonts w:cstheme="minorHAnsi"/>
          <w:sz w:val="24"/>
          <w:szCs w:val="24"/>
        </w:rPr>
      </w:pPr>
      <w:r>
        <w:rPr>
          <w:rFonts w:cstheme="minorHAnsi"/>
          <w:sz w:val="24"/>
          <w:szCs w:val="24"/>
        </w:rPr>
        <w:t>Wir beraten Sie gern zu weiteren Fragen im Zusammenhang mit der Mobilitätscharta in der Berufsbildung. Zu diesem Thema sind Ihre Ansprechpartnerinnen insbesondere:</w:t>
      </w:r>
    </w:p>
    <w:p>
      <w:pPr>
        <w:spacing w:after="0"/>
        <w:rPr>
          <w:rFonts w:cstheme="minorHAnsi"/>
          <w:sz w:val="24"/>
          <w:szCs w:val="24"/>
        </w:rPr>
      </w:pPr>
      <w:r>
        <w:rPr>
          <w:rFonts w:cstheme="minorHAnsi"/>
          <w:sz w:val="24"/>
          <w:szCs w:val="24"/>
        </w:rPr>
        <w:t xml:space="preserve">Ulrike Schröder, </w:t>
      </w:r>
      <w:hyperlink r:id="rId9" w:history="1">
        <w:r>
          <w:rPr>
            <w:rStyle w:val="Hyperlink"/>
            <w:rFonts w:cstheme="minorHAnsi"/>
            <w:sz w:val="24"/>
            <w:szCs w:val="24"/>
          </w:rPr>
          <w:t>ulrike.schroeder@bibb.de</w:t>
        </w:r>
      </w:hyperlink>
      <w:r>
        <w:rPr>
          <w:rFonts w:cstheme="minorHAnsi"/>
          <w:sz w:val="24"/>
          <w:szCs w:val="24"/>
        </w:rPr>
        <w:t>, 0228 / 107-1626</w:t>
      </w:r>
    </w:p>
    <w:p>
      <w:pPr>
        <w:spacing w:after="120"/>
        <w:rPr>
          <w:rFonts w:cstheme="minorHAnsi"/>
          <w:sz w:val="24"/>
          <w:szCs w:val="24"/>
        </w:rPr>
      </w:pPr>
      <w:r>
        <w:rPr>
          <w:rFonts w:cstheme="minorHAnsi"/>
          <w:sz w:val="24"/>
          <w:szCs w:val="24"/>
        </w:rPr>
        <w:t>Ludmila Fleitling</w:t>
      </w:r>
      <w:r>
        <w:rPr>
          <w:rFonts w:cstheme="minorHAnsi"/>
          <w:sz w:val="24"/>
          <w:szCs w:val="24"/>
        </w:rPr>
        <w:t xml:space="preserve">, </w:t>
      </w:r>
      <w:hyperlink r:id="rId10" w:history="1">
        <w:r>
          <w:rPr>
            <w:rStyle w:val="Hyperlink"/>
            <w:rFonts w:cstheme="minorHAnsi"/>
            <w:sz w:val="24"/>
            <w:szCs w:val="24"/>
          </w:rPr>
          <w:t>fleitling@bibb.de</w:t>
        </w:r>
      </w:hyperlink>
      <w:r>
        <w:rPr>
          <w:rFonts w:cstheme="minorHAnsi"/>
          <w:sz w:val="24"/>
          <w:szCs w:val="24"/>
        </w:rPr>
        <w:t>, 0228 / 107-1065</w:t>
      </w:r>
    </w:p>
    <w:p>
      <w:pPr>
        <w:spacing w:after="0" w:line="240" w:lineRule="auto"/>
      </w:pPr>
    </w:p>
    <w:p>
      <w:pPr>
        <w:spacing w:after="0" w:line="240" w:lineRule="auto"/>
      </w:pPr>
      <w:r>
        <w:t>Nationale Agentur beim BIBB</w:t>
      </w:r>
    </w:p>
    <w:p>
      <w:pPr>
        <w:spacing w:after="0" w:line="240" w:lineRule="auto"/>
      </w:pPr>
      <w:r>
        <w:t>Team Mobilität und Internationalisierung der Berufsbildung</w:t>
      </w:r>
    </w:p>
    <w:p>
      <w:pPr>
        <w:spacing w:after="0" w:line="240" w:lineRule="auto"/>
      </w:pPr>
      <w:r>
        <w:t>Robert-Schuman-Platz 3, 53175 Bonn</w:t>
      </w:r>
    </w:p>
    <w:p>
      <w:pPr>
        <w:spacing w:after="0" w:line="240" w:lineRule="auto"/>
      </w:pPr>
      <w:hyperlink r:id="rId11" w:history="1">
        <w:r>
          <w:rPr>
            <w:rStyle w:val="Hyperlink"/>
          </w:rPr>
          <w:t>www.na-bibb.de</w:t>
        </w:r>
      </w:hyperlink>
    </w:p>
    <w:p>
      <w:pPr>
        <w:spacing w:after="0"/>
      </w:pPr>
    </w:p>
    <w:p>
      <w:pPr>
        <w:spacing w:after="120"/>
        <w:rPr>
          <w:i/>
        </w:rPr>
      </w:pPr>
    </w:p>
    <w:p>
      <w:pPr>
        <w:spacing w:after="120"/>
        <w:rPr>
          <w:i/>
        </w:rPr>
        <w:sectPr>
          <w:footerReference r:id="rId12" w:type="default"/>
          <w:pgSz w:h="16838" w:w="11906"/>
          <w:pgMar w:bottom="1134" w:footer="709" w:gutter="0" w:header="709" w:left="1418" w:right="1418" w:top="1418"/>
          <w:cols w:space="708"/>
          <w:titlePg/>
          <w:docGrid w:linePitch="360"/>
        </w:sectPr>
      </w:pPr>
    </w:p>
    <w:p>
      <w:pPr>
        <w:spacing w:after="0"/>
      </w:pPr>
    </w:p>
    <w:p>
      <w:pPr>
        <w:spacing w:after="0"/>
      </w:pPr>
    </w:p>
    <w:p>
      <w:pPr>
        <w:spacing w:after="0"/>
      </w:pPr>
    </w:p>
    <w:p>
      <w:pPr>
        <w:spacing w:after="0"/>
      </w:pPr>
    </w:p>
    <w:p>
      <w:pPr>
        <w:spacing w:after="0"/>
      </w:pPr>
    </w:p>
    <w:p>
      <w:pPr>
        <w:spacing w:after="0"/>
      </w:pPr>
    </w:p>
    <w:p>
      <w:r>
        <w:br w:type="page"/>
      </w:r>
    </w:p>
    <w:p>
      <w:pPr>
        <w:spacing w:after="0"/>
      </w:pPr>
    </w:p>
    <w:p>
      <w:r>
        <w:br w:type="page"/>
      </w:r>
    </w:p>
    <w:p>
      <w:pPr>
        <w:spacing w:after="0"/>
      </w:pPr>
    </w:p>
    <w:p>
      <w:pPr>
        <w:spacing w:after="0"/>
      </w:pPr>
    </w:p>
    <w:p>
      <w:pPr>
        <w:spacing w:after="0"/>
      </w:pPr>
    </w:p>
    <w:p>
      <w:pPr>
        <w:spacing w:after="0"/>
      </w:pPr>
    </w:p>
    <w:p>
      <w:pPr>
        <w:spacing w:after="0"/>
      </w:pPr>
    </w:p>
    <w:p>
      <w:pPr>
        <w:spacing w:after="0"/>
      </w:pPr>
    </w:p>
    <w:p>
      <w:pPr>
        <w:spacing w:after="0"/>
      </w:pPr>
    </w:p>
    <w:sectPr>
      <w:pgSz w:h="11906" w:orient="landscape" w:w="16838"/>
      <w:pgMar w:bottom="1418" w:footer="709" w:gutter="0" w:header="709" w:left="1134" w:right="1418" w:top="1134"/>
      <w:cols w:space="708"/>
      <w:docGrid w:linePitch="360"/>
    </w:sectPr>
    <w:tbl>
      <w:tblPr>
        <w:tblStyle w:val="Tabellenraster"/>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1347"/>
        <w:gridCol w:w="1516"/>
        <w:gridCol w:w="693"/>
        <w:gridCol w:w="5509"/>
      </w:tblGrid>
      <w:tr>
        <w:trPr>
          <w:trHeight w:val="851"/>
        </w:trPr>
        <w:tc>
          <w:tcPr>
            <w:tcW w:type="dxa" w:w="1384"/>
            <w:tcBorders>
              <w:top w:color="365F91" w:space="0" w:sz="4" w:themeColor="accent1" w:themeShade="BF" w:val="single"/>
              <w:left w:color="365F91" w:space="0" w:sz="4" w:themeColor="accent1" w:themeShade="BF" w:val="single"/>
              <w:bottom w:color="365F91" w:space="0" w:sz="4" w:themeColor="accent1" w:themeShade="BF" w:val="single"/>
              <w:right w:color="365F91" w:space="0" w:sz="4" w:themeColor="accent1" w:themeShade="BF" w:val="single"/>
            </w:tcBorders>
            <w:shd w:color="auto" w:fill="auto" w:val="clear"/>
          </w:tcPr>
          <w:p>
            <w:pPr>
              <w:rPr>
                <w:rFonts w:eastAsiaTheme="minorEastAsia"/>
                <w:lang w:eastAsia="de-DE"/>
              </w:rPr>
            </w:pPr>
          </w:p>
        </w:tc>
        <w:tc>
          <w:tcPr>
            <w:tcW w:type="dxa" w:w="1559"/>
            <w:tcBorders>
              <w:left w:color="365F91" w:space="0" w:sz="4" w:themeColor="accent1" w:themeShade="BF" w:val="single"/>
            </w:tcBorders>
          </w:tcPr>
          <w:p>
            <w:pPr>
              <w:rPr>
                <w:rFonts w:eastAsiaTheme="minorEastAsia"/>
                <w:lang w:eastAsia="de-DE"/>
              </w:rPr>
            </w:pPr>
          </w:p>
        </w:tc>
        <w:tc>
          <w:tcPr>
            <w:tcW w:type="dxa" w:w="709"/>
          </w:tcPr>
          <w:p>
            <w:pPr>
              <w:rPr>
                <w:rFonts w:eastAsiaTheme="minorEastAsia"/>
                <w:lang w:eastAsia="de-DE"/>
              </w:rPr>
            </w:pPr>
          </w:p>
        </w:tc>
        <w:tc>
          <w:tcPr>
            <w:tcW w:type="dxa" w:w="5560"/>
          </w:tcPr>
          <w:p>
            <w:pPr>
              <w:rPr>
                <w:rFonts w:eastAsiaTheme="minorEastAsia"/>
                <w:lang w:eastAsia="de-DE"/>
              </w:rPr>
            </w:pPr>
          </w:p>
        </w:tc>
      </w:tr>
      <w:tr>
        <w:trPr>
          <w:trHeight w:val="204"/>
        </w:trPr>
        <w:tc>
          <w:tcPr>
            <w:tcW w:type="dxa" w:w="1384"/>
            <w:tcBorders>
              <w:top w:color="365F91" w:space="0" w:sz="4" w:themeColor="accent1" w:themeShade="BF" w:val="single"/>
            </w:tcBorders>
            <w:shd w:color="auto" w:fill="auto" w:val="clear"/>
          </w:tcPr>
          <w:p>
            <w:pPr>
              <w:rPr>
                <w:rFonts w:eastAsiaTheme="minorEastAsia"/>
                <w:sz w:val="8"/>
                <w:szCs w:val="8"/>
                <w:lang w:eastAsia="de-DE"/>
              </w:rPr>
            </w:pPr>
          </w:p>
        </w:tc>
        <w:tc>
          <w:tcPr>
            <w:tcW w:type="dxa" w:w="1559"/>
            <w:shd w:color="auto" w:fill="auto" w:val="clear"/>
          </w:tcPr>
          <w:p>
            <w:pPr>
              <w:rPr>
                <w:rFonts w:eastAsiaTheme="minorEastAsia"/>
                <w:sz w:val="8"/>
                <w:szCs w:val="8"/>
                <w:lang w:eastAsia="de-DE"/>
              </w:rPr>
            </w:pPr>
          </w:p>
        </w:tc>
        <w:tc>
          <w:tcPr>
            <w:tcW w:type="dxa" w:w="709"/>
          </w:tcPr>
          <w:p>
            <w:pPr>
              <w:rPr>
                <w:rFonts w:eastAsiaTheme="minorEastAsia"/>
                <w:sz w:val="8"/>
                <w:szCs w:val="8"/>
                <w:lang w:eastAsia="de-DE"/>
              </w:rPr>
            </w:pPr>
          </w:p>
        </w:tc>
        <w:tc>
          <w:tcPr>
            <w:tcW w:type="dxa" w:w="5560"/>
          </w:tcPr>
          <w:p>
            <w:pPr>
              <w:rPr>
                <w:rFonts w:eastAsiaTheme="minorEastAsia"/>
                <w:sz w:val="8"/>
                <w:szCs w:val="8"/>
                <w:lang w:eastAsia="de-DE"/>
              </w:rPr>
            </w:pPr>
          </w:p>
        </w:tc>
      </w:tr>
      <w:tr>
        <w:trPr>
          <w:trHeight w:val="1383"/>
        </w:trPr>
        <w:tc>
          <w:tcPr>
            <w:tcW w:type="dxa" w:w="1384"/>
            <w:shd w:color="auto" w:fill="B8CCE4" w:themeFill="accent1" w:themeFillTint="66" w:val="clear"/>
          </w:tcPr>
          <w:p>
            <w:pPr>
              <w:rPr>
                <w:rFonts w:eastAsiaTheme="minorEastAsia"/>
                <w:lang w:eastAsia="de-DE"/>
              </w:rPr>
            </w:pPr>
          </w:p>
        </w:tc>
        <w:tc>
          <w:tcPr>
            <w:tcW w:type="dxa" w:w="1559"/>
          </w:tcPr>
          <w:p>
            <w:pPr>
              <w:rPr>
                <w:rFonts w:eastAsiaTheme="minorEastAsia"/>
                <w:lang w:eastAsia="de-DE"/>
              </w:rPr>
            </w:pPr>
          </w:p>
        </w:tc>
        <w:tc>
          <w:tcPr>
            <w:tcW w:type="dxa" w:w="709"/>
          </w:tcPr>
          <w:p>
            <w:pPr>
              <w:rPr>
                <w:rFonts w:eastAsiaTheme="minorEastAsia"/>
                <w:lang w:eastAsia="de-DE"/>
              </w:rPr>
            </w:pPr>
          </w:p>
        </w:tc>
        <w:tc>
          <w:tcPr>
            <w:tcW w:type="dxa" w:w="5560"/>
          </w:tcPr>
          <w:p>
            <w:pPr>
              <w:rPr>
                <w:rFonts w:eastAsiaTheme="minorEastAsia"/>
                <w:lang w:eastAsia="de-DE"/>
              </w:rPr>
            </w:pPr>
          </w:p>
        </w:tc>
      </w:tr>
      <w:tr>
        <w:trPr>
          <w:trHeight w:val="136"/>
        </w:trPr>
        <w:tc>
          <w:tcPr>
            <w:tcW w:type="dxa" w:w="1384"/>
          </w:tcPr>
          <w:p>
            <w:pPr>
              <w:rPr>
                <w:rFonts w:eastAsiaTheme="minorEastAsia"/>
                <w:sz w:val="8"/>
                <w:szCs w:val="8"/>
                <w:lang w:eastAsia="de-DE"/>
              </w:rPr>
            </w:pPr>
          </w:p>
        </w:tc>
        <w:tc>
          <w:tcPr>
            <w:tcW w:type="dxa" w:w="1559"/>
          </w:tcPr>
          <w:p>
            <w:pPr>
              <w:rPr>
                <w:rFonts w:eastAsiaTheme="minorEastAsia"/>
                <w:sz w:val="8"/>
                <w:szCs w:val="8"/>
                <w:lang w:eastAsia="de-DE"/>
              </w:rPr>
            </w:pPr>
          </w:p>
        </w:tc>
        <w:tc>
          <w:tcPr>
            <w:tcW w:type="dxa" w:w="709"/>
          </w:tcPr>
          <w:p>
            <w:pPr>
              <w:rPr>
                <w:rFonts w:eastAsiaTheme="minorEastAsia"/>
                <w:sz w:val="8"/>
                <w:szCs w:val="8"/>
                <w:lang w:eastAsia="de-DE"/>
              </w:rPr>
            </w:pPr>
          </w:p>
        </w:tc>
        <w:tc>
          <w:tcPr>
            <w:tcW w:type="dxa" w:w="5560"/>
          </w:tcPr>
          <w:p>
            <w:pPr>
              <w:rPr>
                <w:rFonts w:eastAsiaTheme="minorEastAsia"/>
                <w:sz w:val="8"/>
                <w:szCs w:val="8"/>
                <w:lang w:eastAsia="de-DE"/>
              </w:rPr>
            </w:pPr>
          </w:p>
        </w:tc>
      </w:tr>
      <w:tr>
        <w:trPr>
          <w:trHeight w:val="2835"/>
        </w:trPr>
        <w:tc>
          <w:tcPr>
            <w:tcW w:type="dxa" w:w="1384"/>
            <w:shd w:color="auto" w:fill="95B3D7" w:themeFill="accent1" w:themeFillTint="99" w:val="clear"/>
          </w:tcPr>
          <w:p>
            <w:pPr>
              <w:rPr>
                <w:rFonts w:eastAsiaTheme="minorEastAsia"/>
                <w:lang w:eastAsia="de-DE"/>
              </w:rPr>
            </w:pPr>
          </w:p>
        </w:tc>
        <w:tc>
          <w:tcPr>
            <w:tcW w:type="dxa" w:w="1559"/>
          </w:tcPr>
          <w:p>
            <w:pPr>
              <w:rPr>
                <w:rFonts w:eastAsiaTheme="minorEastAsia"/>
                <w:lang w:eastAsia="de-DE"/>
              </w:rPr>
            </w:pPr>
          </w:p>
        </w:tc>
        <w:tc>
          <w:tcPr>
            <w:tcW w:type="dxa" w:w="709"/>
          </w:tcPr>
          <w:p>
            <w:pPr>
              <w:rPr>
                <w:rFonts w:eastAsiaTheme="minorEastAsia"/>
                <w:lang w:eastAsia="de-DE"/>
              </w:rPr>
            </w:pPr>
          </w:p>
        </w:tc>
        <w:tc>
          <w:tcPr>
            <w:tcW w:type="dxa" w:w="5560"/>
          </w:tcPr>
          <w:p>
            <w:pPr>
              <w:rPr>
                <w:rFonts w:eastAsiaTheme="minorEastAsia"/>
                <w:sz w:val="44"/>
                <w:szCs w:val="44"/>
                <w:lang w:eastAsia="de-DE"/>
              </w:rPr>
            </w:pPr>
            <w:r>
              <w:rPr>
                <w:rFonts w:eastAsiaTheme="minorEastAsia"/>
                <w:color w:themeColor="accent1" w:themeShade="80" w:val="244061"/>
                <w:sz w:val="44"/>
                <w:szCs w:val="44"/>
                <w:lang w:eastAsia="de-DE"/>
              </w:rPr>
              <w:t xml:space="preserve">Internationalisierung </w:t>
            </w:r>
            <w:r>
              <w:rPr>
                <w:rFonts w:eastAsiaTheme="minorEastAsia"/>
                <w:color w:themeColor="accent1" w:themeShade="80" w:val="244061"/>
                <w:sz w:val="44"/>
                <w:szCs w:val="44"/>
                <w:lang w:eastAsia="de-DE"/>
              </w:rPr>
              <w:br/>
              <w:t>in der Berufsbildung</w:t>
            </w:r>
          </w:p>
        </w:tc>
      </w:tr>
      <w:tr>
        <w:trPr>
          <w:trHeight w:val="58"/>
        </w:trPr>
        <w:tc>
          <w:tcPr>
            <w:tcW w:type="dxa" w:w="1384"/>
          </w:tcPr>
          <w:p>
            <w:pPr>
              <w:rPr>
                <w:rFonts w:eastAsiaTheme="minorEastAsia"/>
                <w:sz w:val="8"/>
                <w:szCs w:val="8"/>
                <w:lang w:eastAsia="de-DE"/>
              </w:rPr>
            </w:pPr>
          </w:p>
        </w:tc>
        <w:tc>
          <w:tcPr>
            <w:tcW w:type="dxa" w:w="1559"/>
          </w:tcPr>
          <w:p>
            <w:pPr>
              <w:rPr>
                <w:rFonts w:eastAsiaTheme="minorEastAsia"/>
                <w:sz w:val="8"/>
                <w:szCs w:val="8"/>
                <w:lang w:eastAsia="de-DE"/>
              </w:rPr>
            </w:pPr>
          </w:p>
        </w:tc>
        <w:tc>
          <w:tcPr>
            <w:tcW w:type="dxa" w:w="709"/>
          </w:tcPr>
          <w:p>
            <w:pPr>
              <w:rPr>
                <w:rFonts w:eastAsiaTheme="minorEastAsia"/>
                <w:sz w:val="8"/>
                <w:szCs w:val="8"/>
                <w:lang w:eastAsia="de-DE"/>
              </w:rPr>
            </w:pPr>
          </w:p>
        </w:tc>
        <w:tc>
          <w:tcPr>
            <w:tcW w:type="dxa" w:w="5560"/>
          </w:tcPr>
          <w:p>
            <w:pPr>
              <w:rPr>
                <w:rFonts w:eastAsiaTheme="minorEastAsia"/>
                <w:sz w:val="8"/>
                <w:szCs w:val="8"/>
                <w:lang w:eastAsia="de-DE"/>
              </w:rPr>
            </w:pPr>
          </w:p>
        </w:tc>
      </w:tr>
      <w:tr>
        <w:trPr>
          <w:trHeight w:val="4536"/>
        </w:trPr>
        <w:tc>
          <w:tcPr>
            <w:tcW w:type="dxa" w:w="1384"/>
            <w:shd w:color="auto" w:fill="365F91" w:themeFill="accent1" w:themeFillShade="BF" w:val="clear"/>
          </w:tcPr>
          <w:p>
            <w:pPr>
              <w:rPr>
                <w:rFonts w:eastAsiaTheme="minorEastAsia"/>
                <w:lang w:eastAsia="de-DE"/>
              </w:rPr>
            </w:pPr>
          </w:p>
        </w:tc>
        <w:tc>
          <w:tcPr>
            <w:tcW w:type="dxa" w:w="1559"/>
          </w:tcPr>
          <w:p>
            <w:pPr>
              <w:rPr>
                <w:rFonts w:eastAsiaTheme="minorEastAsia"/>
                <w:lang w:eastAsia="de-DE"/>
              </w:rPr>
            </w:pPr>
          </w:p>
        </w:tc>
        <w:tc>
          <w:tcPr>
            <w:tcW w:type="dxa" w:w="709"/>
          </w:tcPr>
          <w:p>
            <w:pPr>
              <w:rPr>
                <w:rFonts w:eastAsiaTheme="minorEastAsia"/>
                <w:lang w:eastAsia="de-DE"/>
              </w:rPr>
            </w:pPr>
          </w:p>
        </w:tc>
        <w:tc>
          <w:tcPr>
            <w:tcW w:type="dxa" w:w="5560"/>
          </w:tcPr>
          <w:p>
            <w:pPr>
              <w:rPr>
                <w:rFonts w:eastAsiaTheme="minorEastAsia"/>
                <w:i/>
                <w:color w:themeColor="accent1" w:themeShade="80" w:val="244061"/>
                <w:sz w:val="24"/>
                <w:szCs w:val="24"/>
                <w:lang w:eastAsia="de-DE"/>
              </w:rPr>
            </w:pPr>
            <w:r>
              <w:rPr>
                <w:rFonts w:eastAsiaTheme="minorEastAsia"/>
                <w:i/>
                <w:color w:themeColor="accent1" w:themeShade="80" w:val="244061"/>
                <w:sz w:val="24"/>
                <w:szCs w:val="24"/>
                <w:lang w:eastAsia="de-DE"/>
              </w:rPr>
              <w:t xml:space="preserve">Eine </w:t>
            </w:r>
            <w:r>
              <w:rPr>
                <w:rFonts w:eastAsiaTheme="minorEastAsia"/>
                <w:i/>
                <w:color w:themeColor="accent1" w:themeShade="80" w:val="244061"/>
                <w:sz w:val="24"/>
                <w:szCs w:val="24"/>
                <w:lang w:eastAsia="de-DE"/>
              </w:rPr>
              <w:t xml:space="preserve">Handreichung zur </w:t>
            </w:r>
            <w:r>
              <w:rPr>
                <w:rFonts w:eastAsiaTheme="minorEastAsia"/>
                <w:i/>
                <w:color w:themeColor="accent1" w:themeShade="80" w:val="244061"/>
                <w:sz w:val="24"/>
                <w:szCs w:val="24"/>
                <w:lang w:eastAsia="de-DE"/>
              </w:rPr>
              <w:t>Selbsteinschätzung</w:t>
            </w:r>
            <w:r>
              <w:rPr>
                <w:rFonts w:eastAsiaTheme="minorEastAsia"/>
                <w:i/>
                <w:color w:themeColor="accent1" w:themeShade="80" w:val="244061"/>
                <w:sz w:val="24"/>
                <w:szCs w:val="24"/>
                <w:lang w:eastAsia="de-DE"/>
              </w:rPr>
              <w:t xml:space="preserve"> für berufsbildende Einrichtungen </w:t>
            </w:r>
            <w:r>
              <w:rPr>
                <w:rFonts w:eastAsiaTheme="minorEastAsia"/>
                <w:i/>
                <w:color w:themeColor="accent1" w:themeShade="80" w:val="244061"/>
                <w:sz w:val="44"/>
                <w:szCs w:val="44"/>
                <w:lang w:eastAsia="de-DE"/>
              </w:rPr>
              <w:br/>
            </w:r>
            <w:r>
              <w:rPr>
                <w:rFonts w:eastAsiaTheme="minorEastAsia"/>
                <w:i/>
                <w:color w:themeColor="accent1" w:themeShade="80" w:val="244061"/>
                <w:sz w:val="24"/>
                <w:szCs w:val="24"/>
                <w:lang w:eastAsia="de-DE"/>
              </w:rPr>
              <w:t>in Vorbereitung auf eine Beantragung der Mobilitätscharta in Erasmus+</w:t>
            </w: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color w:themeColor="accent1" w:themeShade="80" w:val="244061"/>
                <w:sz w:val="24"/>
                <w:szCs w:val="24"/>
                <w:lang w:eastAsia="de-DE"/>
              </w:rPr>
            </w:pPr>
          </w:p>
          <w:p>
            <w:pPr>
              <w:rPr>
                <w:rFonts w:eastAsiaTheme="minorEastAsia"/>
                <w:i/>
                <w:sz w:val="20"/>
                <w:szCs w:val="20"/>
                <w:lang w:eastAsia="de-DE"/>
              </w:rPr>
            </w:pPr>
            <w:r>
              <w:rPr>
                <w:rFonts w:cstheme="minorHAnsi" w:eastAsiaTheme="minorEastAsia"/>
                <w:i/>
                <w:color w:themeColor="accent1" w:themeShade="80" w:val="244061"/>
                <w:sz w:val="20"/>
                <w:szCs w:val="20"/>
                <w:lang w:eastAsia="de-DE"/>
              </w:rPr>
              <w:t>©</w:t>
            </w:r>
            <w:r>
              <w:rPr>
                <w:rFonts w:eastAsiaTheme="minorEastAsia"/>
                <w:i/>
                <w:color w:themeColor="accent1" w:themeShade="80" w:val="244061"/>
                <w:sz w:val="20"/>
                <w:szCs w:val="20"/>
                <w:lang w:eastAsia="de-DE"/>
              </w:rPr>
              <w:t>Nationale Agentur beim BIBB</w:t>
            </w:r>
          </w:p>
        </w:tc>
      </w:tr>
    </w:tbl>
    <w:tbl>
      <w:tblPr>
        <w:tblStyle w:val="Tabellenraster"/>
        <w:tblW w:type="auto" w:w="0"/>
        <w:tblInd w:type="dxa" w:w="392"/>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3995"/>
        <w:gridCol w:w="264"/>
        <w:gridCol w:w="1269"/>
        <w:gridCol w:w="3134"/>
      </w:tblGrid>
      <w:tr>
        <w:tc>
          <w:tcPr>
            <w:tcW w:type="dxa" w:w="3995"/>
          </w:tcPr>
          <w:p>
            <w:pPr>
              <w:pStyle w:val="Listenabsatz"/>
              <w:numPr>
                <w:ilvl w:val="0"/>
                <w:numId w:val="1"/>
              </w:numPr>
              <w:spacing w:after="60" w:before="60"/>
              <w:ind w:hanging="357" w:left="714"/>
              <w:contextualSpacing w:val="0"/>
              <w:rPr>
                <w:sz w:val="24"/>
                <w:szCs w:val="24"/>
              </w:rPr>
            </w:pPr>
            <w:r>
              <w:rPr>
                <w:sz w:val="24"/>
                <w:szCs w:val="24"/>
              </w:rPr>
              <w:t>Das ist für uns nicht wichtig</w:t>
            </w:r>
            <w:r>
              <w:rPr>
                <w:sz w:val="24"/>
                <w:szCs w:val="24"/>
              </w:rPr>
              <w:t>.</w:t>
            </w:r>
          </w:p>
        </w:tc>
        <w:tc>
          <w:tcPr>
            <w:tcW w:type="dxa" w:w="264"/>
          </w:tcPr>
          <w:p>
            <w:pPr>
              <w:rPr>
                <w:sz w:val="24"/>
                <w:szCs w:val="24"/>
              </w:rPr>
            </w:pPr>
          </w:p>
        </w:tc>
        <w:tc>
          <w:tcPr>
            <w:tcW w:type="dxa" w:w="1269"/>
            <w:vMerge w:val="restart"/>
          </w:tcPr>
          <w:p>
            <w:pPr>
              <w:rPr>
                <w:sz w:val="24"/>
                <w:szCs w:val="24"/>
              </w:rPr>
            </w:pPr>
            <w:r>
              <w:rPr>
                <w:noProof/>
                <w:sz w:val="24"/>
                <w:szCs w:val="24"/>
                <w:lang w:eastAsia="de-DE"/>
              </w:rPr>
              <mc:AlternateContent>
                <mc:Choice Requires="wps">
                  <w:drawing>
                    <wp:anchor allowOverlap="1" behindDoc="0" distB="0" distL="114300" distR="114300" distT="0" layoutInCell="1" locked="0" relativeHeight="251666432" simplePos="0" wp14:anchorId="6F584FD0" wp14:editId="29FACF8E">
                      <wp:simplePos x="0" y="0"/>
                      <wp:positionH relativeFrom="column">
                        <wp:posOffset>29210</wp:posOffset>
                      </wp:positionH>
                      <wp:positionV relativeFrom="paragraph">
                        <wp:posOffset>109220</wp:posOffset>
                      </wp:positionV>
                      <wp:extent cx="609600" cy="1562100"/>
                      <wp:effectExtent b="19050" l="0" r="19050" t="0"/>
                      <wp:wrapNone/>
                      <wp:docPr id="2" name="Flussdiagramm: Zusammenführen 2"/>
                      <wp:cNvGraphicFramePr/>
                      <a:graphic>
                        <a:graphicData uri="http://schemas.microsoft.com/office/word/2010/wordprocessingShape">
                          <wps:wsp>
                            <wps:cNvSpPr/>
                            <wps:spPr>
                              <a:xfrm>
                                <a:off x="0" y="0"/>
                                <a:ext cx="609600" cy="156210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anchor="ctr" anchorCtr="0" bIns="45720" compatLnSpc="1" forceAA="0" fromWordArt="0" horzOverflow="overflow" lIns="91440" numCol="1" rIns="91440" rot="0" rtlCol="0" spcCol="0" spcFirstLastPara="0" tIns="45720" vert="horz" vertOverflow="overflow" wrap="square">
                              <a:prstTxWarp prst="textNoShape">
                                <a:avLst/>
                              </a:prstTxWarp>
                              <a:noAutofit/>
                            </wps:bodyPr>
                          </wps:wsp>
                        </a:graphicData>
                      </a:graphic>
                      <wp14:sizeRelV relativeFrom="margin">
                        <wp14:pctHeight>0</wp14:pctHeight>
                      </wp14:sizeRelV>
                    </wp:anchor>
                  </w:drawing>
                </mc:Choice>
                <mc:Fallback>
                  <w:pict>
                    <v:shapetype coordsize="21600,21600" id="_x0000_t128" path="m,l21600,,10800,21600xe" w14:anchorId="3CCD7A3D" o:spt="128">
                      <v:stroke joinstyle="miter"/>
                      <v:path gradientshapeok="t" textboxrect="5400,0,16200,10800" o:connectlocs="10800,0;5400,10800;10800,21600;16200,10800" o:connecttype="custom"/>
                    </v:shapetype>
                    <v:shape fillcolor="#4f81bd [3204]" id="Flussdiagramm: Zusammenführen 2" strokecolor="#243f60 [1604]" strokeweight="2pt" style="position:absolute;margin-left:2.3pt;margin-top:8.6pt;width:48pt;height:12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type="#_x0000_t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" o:spid="_x0000_s1026"/>
                  </w:pict>
                </mc:Fallback>
              </mc:AlternateContent>
            </w:r>
          </w:p>
          <w:p>
            <w:pPr>
              <w:rPr>
                <w:sz w:val="24"/>
                <w:szCs w:val="24"/>
              </w:rPr>
            </w:pPr>
          </w:p>
        </w:tc>
        <w:tc>
          <w:tcPr>
            <w:tcW w:type="dxa" w:w="3134"/>
            <w:vMerge w:val="restart"/>
          </w:tcPr>
          <w:p>
            <w:pPr>
              <w:rPr>
                <w:sz w:val="24"/>
                <w:szCs w:val="24"/>
              </w:rPr>
            </w:pPr>
          </w:p>
          <w:p>
            <w:pPr>
              <w:rPr>
                <w:sz w:val="24"/>
                <w:szCs w:val="24"/>
              </w:rPr>
            </w:pPr>
          </w:p>
          <w:p>
            <w:pPr>
              <w:spacing w:line="480" w:lineRule="auto"/>
              <w:rPr>
                <w:b/>
                <w:sz w:val="24"/>
                <w:szCs w:val="24"/>
              </w:rPr>
            </w:pPr>
            <w:r>
              <w:rPr>
                <w:b/>
                <w:sz w:val="24"/>
                <w:szCs w:val="24"/>
              </w:rPr>
              <w:t xml:space="preserve">Potential </w:t>
            </w:r>
          </w:p>
          <w:p>
            <w:pPr>
              <w:spacing w:line="480" w:lineRule="auto"/>
              <w:rPr>
                <w:b/>
                <w:sz w:val="24"/>
                <w:szCs w:val="24"/>
              </w:rPr>
            </w:pPr>
            <w:r>
              <w:rPr>
                <w:b/>
                <w:sz w:val="24"/>
                <w:szCs w:val="24"/>
              </w:rPr>
              <w:t xml:space="preserve">für  </w:t>
            </w:r>
          </w:p>
          <w:p>
            <w:pPr>
              <w:spacing w:line="480" w:lineRule="auto"/>
              <w:rPr>
                <w:noProof/>
                <w:sz w:val="24"/>
                <w:szCs w:val="24"/>
                <w:lang w:eastAsia="de-DE"/>
              </w:rPr>
            </w:pPr>
            <w:r>
              <w:rPr>
                <w:b/>
                <w:noProof/>
                <w:sz w:val="24"/>
                <w:szCs w:val="24"/>
                <w:lang w:eastAsia="de-DE"/>
              </w:rPr>
              <w:t>Entwicklung</w:t>
            </w:r>
            <w:r>
              <w:rPr>
                <w:noProof/>
                <w:sz w:val="24"/>
                <w:szCs w:val="24"/>
                <w:lang w:eastAsia="de-DE"/>
              </w:rPr>
              <w:t xml:space="preserve"> </w:t>
            </w:r>
          </w:p>
        </w:tc>
      </w:tr>
      <w:tr>
        <w:tc>
          <w:tcPr>
            <w:tcW w:type="dxa" w:w="3995"/>
          </w:tcPr>
          <w:p>
            <w:pPr>
              <w:pStyle w:val="Listenabsatz"/>
              <w:numPr>
                <w:ilvl w:val="0"/>
                <w:numId w:val="1"/>
              </w:numPr>
              <w:spacing w:after="60" w:before="60"/>
              <w:ind w:hanging="357" w:left="714"/>
              <w:contextualSpacing w:val="0"/>
              <w:rPr>
                <w:sz w:val="24"/>
                <w:szCs w:val="24"/>
              </w:rPr>
            </w:pPr>
            <w:r>
              <w:rPr>
                <w:sz w:val="24"/>
                <w:szCs w:val="24"/>
              </w:rPr>
              <w:t>Das möchten wir einführen/ umsetzen.</w:t>
            </w:r>
          </w:p>
        </w:tc>
        <w:tc>
          <w:tcPr>
            <w:tcW w:type="dxa" w:w="264"/>
          </w:tcPr>
          <w:p>
            <w:pPr>
              <w:rPr>
                <w:sz w:val="24"/>
                <w:szCs w:val="24"/>
              </w:rPr>
            </w:pPr>
          </w:p>
        </w:tc>
        <w:tc>
          <w:tcPr>
            <w:tcW w:type="dxa" w:w="1269"/>
            <w:vMerge/>
          </w:tcPr>
          <w:p>
            <w:pPr>
              <w:rPr>
                <w:sz w:val="24"/>
                <w:szCs w:val="24"/>
              </w:rPr>
            </w:pPr>
          </w:p>
        </w:tc>
        <w:tc>
          <w:tcPr>
            <w:tcW w:type="dxa" w:w="3134"/>
            <w:vMerge/>
          </w:tcPr>
          <w:p>
            <w:pPr>
              <w:rPr>
                <w:sz w:val="24"/>
                <w:szCs w:val="24"/>
              </w:rPr>
            </w:pPr>
          </w:p>
        </w:tc>
      </w:tr>
      <w:tr>
        <w:tc>
          <w:tcPr>
            <w:tcW w:type="dxa" w:w="3995"/>
          </w:tcPr>
          <w:p>
            <w:pPr>
              <w:pStyle w:val="Listenabsatz"/>
              <w:numPr>
                <w:ilvl w:val="0"/>
                <w:numId w:val="1"/>
              </w:numPr>
              <w:spacing w:after="60" w:before="60"/>
              <w:ind w:hanging="357" w:left="714"/>
              <w:contextualSpacing w:val="0"/>
              <w:rPr>
                <w:sz w:val="24"/>
                <w:szCs w:val="24"/>
              </w:rPr>
            </w:pPr>
            <w:r>
              <w:rPr>
                <w:sz w:val="24"/>
                <w:szCs w:val="24"/>
              </w:rPr>
              <w:t>Das machen wir in Teilen schon.</w:t>
            </w:r>
          </w:p>
        </w:tc>
        <w:tc>
          <w:tcPr>
            <w:tcW w:type="dxa" w:w="264"/>
          </w:tcPr>
          <w:p>
            <w:pPr>
              <w:rPr>
                <w:sz w:val="24"/>
                <w:szCs w:val="24"/>
              </w:rPr>
            </w:pPr>
          </w:p>
        </w:tc>
        <w:tc>
          <w:tcPr>
            <w:tcW w:type="dxa" w:w="1269"/>
            <w:vMerge/>
          </w:tcPr>
          <w:p>
            <w:pPr>
              <w:rPr>
                <w:sz w:val="24"/>
                <w:szCs w:val="24"/>
              </w:rPr>
            </w:pPr>
          </w:p>
        </w:tc>
        <w:tc>
          <w:tcPr>
            <w:tcW w:type="dxa" w:w="3134"/>
            <w:vMerge/>
          </w:tcPr>
          <w:p>
            <w:pPr>
              <w:rPr>
                <w:sz w:val="24"/>
                <w:szCs w:val="24"/>
              </w:rPr>
            </w:pPr>
          </w:p>
        </w:tc>
      </w:tr>
      <w:tr>
        <w:tc>
          <w:tcPr>
            <w:tcW w:type="dxa" w:w="3995"/>
          </w:tcPr>
          <w:p>
            <w:pPr>
              <w:pStyle w:val="Listenabsatz"/>
              <w:numPr>
                <w:ilvl w:val="0"/>
                <w:numId w:val="1"/>
              </w:numPr>
              <w:spacing w:after="60" w:before="60"/>
              <w:ind w:hanging="357" w:left="714"/>
              <w:contextualSpacing w:val="0"/>
              <w:rPr>
                <w:sz w:val="24"/>
                <w:szCs w:val="24"/>
              </w:rPr>
            </w:pPr>
            <w:r>
              <w:rPr>
                <w:sz w:val="24"/>
                <w:szCs w:val="24"/>
              </w:rPr>
              <w:t>Das machen wir regelmäßig</w:t>
            </w:r>
            <w:r>
              <w:rPr>
                <w:sz w:val="24"/>
                <w:szCs w:val="24"/>
              </w:rPr>
              <w:t>,</w:t>
            </w:r>
            <w:r>
              <w:rPr>
                <w:sz w:val="24"/>
                <w:szCs w:val="24"/>
              </w:rPr>
              <w:t xml:space="preserve"> </w:t>
            </w:r>
            <w:r>
              <w:rPr>
                <w:sz w:val="24"/>
                <w:szCs w:val="24"/>
              </w:rPr>
              <w:t>meist</w:t>
            </w:r>
            <w:r>
              <w:rPr>
                <w:sz w:val="24"/>
                <w:szCs w:val="24"/>
              </w:rPr>
              <w:t xml:space="preserve"> mit recht gutem Erfolg.</w:t>
            </w:r>
          </w:p>
        </w:tc>
        <w:tc>
          <w:tcPr>
            <w:tcW w:type="dxa" w:w="264"/>
          </w:tcPr>
          <w:p>
            <w:pPr>
              <w:rPr>
                <w:sz w:val="24"/>
                <w:szCs w:val="24"/>
              </w:rPr>
            </w:pPr>
          </w:p>
        </w:tc>
        <w:tc>
          <w:tcPr>
            <w:tcW w:type="dxa" w:w="1269"/>
            <w:vMerge/>
          </w:tcPr>
          <w:p>
            <w:pPr>
              <w:rPr>
                <w:sz w:val="24"/>
                <w:szCs w:val="24"/>
              </w:rPr>
            </w:pPr>
          </w:p>
        </w:tc>
        <w:tc>
          <w:tcPr>
            <w:tcW w:type="dxa" w:w="3134"/>
            <w:vMerge/>
          </w:tcPr>
          <w:p>
            <w:pPr>
              <w:rPr>
                <w:sz w:val="24"/>
                <w:szCs w:val="24"/>
              </w:rPr>
            </w:pPr>
          </w:p>
        </w:tc>
      </w:tr>
      <w:tr>
        <w:tc>
          <w:tcPr>
            <w:tcW w:type="dxa" w:w="3995"/>
          </w:tcPr>
          <w:p>
            <w:pPr>
              <w:pStyle w:val="Listenabsatz"/>
              <w:numPr>
                <w:ilvl w:val="0"/>
                <w:numId w:val="1"/>
              </w:numPr>
              <w:spacing w:after="60" w:before="60"/>
              <w:ind w:hanging="357" w:left="714"/>
              <w:contextualSpacing w:val="0"/>
              <w:rPr>
                <w:sz w:val="24"/>
                <w:szCs w:val="24"/>
              </w:rPr>
            </w:pPr>
            <w:r>
              <w:rPr>
                <w:sz w:val="24"/>
                <w:szCs w:val="24"/>
              </w:rPr>
              <w:t>Das machen bereits auf sehr hohem Niveau</w:t>
            </w:r>
          </w:p>
        </w:tc>
        <w:tc>
          <w:tcPr>
            <w:tcW w:type="dxa" w:w="264"/>
          </w:tcPr>
          <w:p>
            <w:pPr>
              <w:rPr>
                <w:sz w:val="24"/>
                <w:szCs w:val="24"/>
              </w:rPr>
            </w:pPr>
          </w:p>
        </w:tc>
        <w:tc>
          <w:tcPr>
            <w:tcW w:type="dxa" w:w="1269"/>
            <w:vMerge/>
          </w:tcPr>
          <w:p>
            <w:pPr>
              <w:rPr>
                <w:sz w:val="24"/>
                <w:szCs w:val="24"/>
              </w:rPr>
            </w:pPr>
          </w:p>
        </w:tc>
        <w:tc>
          <w:tcPr>
            <w:tcW w:type="dxa" w:w="3134"/>
            <w:vMerge/>
          </w:tcPr>
          <w:p>
            <w:pPr>
              <w:rPr>
                <w:sz w:val="24"/>
                <w:szCs w:val="24"/>
              </w:rPr>
            </w:pPr>
          </w:p>
        </w:tc>
      </w:tr>
    </w:tbl>
    <w:tbl>
      <w:tblPr>
        <w:tblStyle w:val="Tabellenraster"/>
        <w:tblW w:type="auto" w:w="0"/>
        <w:tblInd w:type="dxa" w:w="25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561"/>
        <w:gridCol w:w="8259"/>
      </w:tblGrid>
      <w:tr>
        <w:tc>
          <w:tcPr>
            <w:tcW w:type="dxa" w:w="567"/>
          </w:tcPr>
          <w:p>
            <w:pPr>
              <w:spacing w:after="120"/>
              <w:rPr>
                <w:b/>
                <w:color w:themeColor="text2" w:themeShade="BF" w:val="17365D"/>
                <w:sz w:val="24"/>
                <w:szCs w:val="24"/>
              </w:rPr>
            </w:pPr>
            <w:r>
              <w:rPr>
                <w:b/>
                <w:color w:themeColor="text2" w:themeShade="BF" w:val="17365D"/>
                <w:sz w:val="24"/>
                <w:szCs w:val="24"/>
              </w:rPr>
              <w:sym w:char="F04A" w:font="Wingdings"/>
            </w:r>
          </w:p>
        </w:tc>
        <w:tc>
          <w:tcPr>
            <w:tcW w:type="dxa" w:w="8393"/>
          </w:tcPr>
          <w:p>
            <w:r>
              <w:t>Sie erhalten eine visualisierte Einschätzung des Ist-Stands. Unterstützen Sie die Visualisierung, indem Sie die I</w:t>
            </w:r>
            <w:r>
              <w:t>st</w:t>
            </w:r>
            <w:r>
              <w:t>-Einschätzung</w:t>
            </w:r>
            <w:r>
              <w:t>en</w:t>
            </w:r>
            <w:r>
              <w:t xml:space="preserve"> </w:t>
            </w:r>
            <w:r>
              <w:t>mit</w:t>
            </w:r>
            <w:r>
              <w:t xml:space="preserve"> einer farbigen Linie verbinden, den angestrebten Zustand mit einer anderen Farbe kennzeichnen.</w:t>
            </w:r>
          </w:p>
          <w:p/>
        </w:tc>
      </w:tr>
      <w:tr>
        <w:tc>
          <w:tcPr>
            <w:tcW w:type="dxa" w:w="567"/>
          </w:tcPr>
          <w:p>
            <w:pPr>
              <w:spacing w:after="120"/>
              <w:rPr>
                <w:b/>
                <w:color w:themeColor="text2" w:themeShade="BF" w:val="17365D"/>
                <w:sz w:val="24"/>
                <w:szCs w:val="24"/>
              </w:rPr>
            </w:pPr>
            <w:r>
              <w:rPr>
                <w:b/>
                <w:color w:themeColor="text2" w:themeShade="BF" w:val="17365D"/>
                <w:sz w:val="24"/>
                <w:szCs w:val="24"/>
              </w:rPr>
              <w:sym w:char="F04A" w:font="Wingdings"/>
            </w:r>
          </w:p>
        </w:tc>
        <w:tc>
          <w:tcPr>
            <w:tcW w:type="dxa" w:w="8393"/>
          </w:tcPr>
          <w:p>
            <w:r>
              <w:t>Schwerpunkte für zukünftige Entwicklung können identifiziert werden.</w:t>
            </w:r>
          </w:p>
          <w:p>
            <w:pPr>
              <w:spacing w:after="120"/>
              <w:rPr>
                <w:b/>
                <w:color w:themeColor="text2" w:themeShade="BF" w:val="17365D"/>
              </w:rPr>
            </w:pPr>
          </w:p>
        </w:tc>
      </w:tr>
      <w:tr>
        <w:tc>
          <w:tcPr>
            <w:tcW w:type="dxa" w:w="567"/>
          </w:tcPr>
          <w:p>
            <w:pPr>
              <w:spacing w:after="120"/>
              <w:rPr>
                <w:b/>
                <w:color w:themeColor="text2" w:themeShade="BF" w:val="17365D"/>
                <w:sz w:val="24"/>
                <w:szCs w:val="24"/>
              </w:rPr>
            </w:pPr>
            <w:r>
              <w:rPr>
                <w:b/>
                <w:color w:themeColor="text2" w:themeShade="BF" w:val="17365D"/>
                <w:sz w:val="24"/>
                <w:szCs w:val="24"/>
              </w:rPr>
              <w:sym w:char="F04A" w:font="Wingdings"/>
            </w:r>
          </w:p>
        </w:tc>
        <w:tc>
          <w:tcPr>
            <w:tcW w:type="dxa" w:w="8393"/>
          </w:tcPr>
          <w:p>
            <w:r>
              <w:t>G</w:t>
            </w:r>
            <w:r>
              <w:t>emeinsame Gesprächsgrundlage für Besprechungen</w:t>
            </w:r>
            <w:r>
              <w:t xml:space="preserve"> ist gegeben </w:t>
            </w:r>
            <w:r>
              <w:t xml:space="preserve">(gemeinsam durchgehen oder mehrere Personen bearbeiten die Handreichung </w:t>
            </w:r>
            <w:r>
              <w:t>für sich</w:t>
            </w:r>
            <w:r>
              <w:t xml:space="preserve"> und tauschen sich </w:t>
            </w:r>
            <w:r>
              <w:t xml:space="preserve">dann </w:t>
            </w:r>
            <w:r>
              <w:t>aus)</w:t>
            </w:r>
          </w:p>
          <w:p>
            <w:pPr>
              <w:rPr>
                <w:b/>
                <w:color w:themeColor="text2" w:themeShade="BF" w:val="17365D"/>
              </w:rPr>
            </w:pPr>
          </w:p>
        </w:tc>
      </w:tr>
      <w:tr>
        <w:tc>
          <w:tcPr>
            <w:tcW w:type="dxa" w:w="567"/>
          </w:tcPr>
          <w:p>
            <w:pPr>
              <w:spacing w:after="120"/>
              <w:rPr>
                <w:b/>
                <w:color w:themeColor="text2" w:themeShade="BF" w:val="17365D"/>
                <w:sz w:val="24"/>
                <w:szCs w:val="24"/>
              </w:rPr>
            </w:pPr>
            <w:r>
              <w:rPr>
                <w:b/>
                <w:color w:themeColor="text2" w:themeShade="BF" w:val="17365D"/>
                <w:sz w:val="24"/>
                <w:szCs w:val="24"/>
              </w:rPr>
              <w:sym w:char="F04A" w:font="Wingdings"/>
            </w:r>
          </w:p>
        </w:tc>
        <w:tc>
          <w:tcPr>
            <w:tcW w:type="dxa" w:w="8393"/>
          </w:tcPr>
          <w:p>
            <w:r>
              <w:t xml:space="preserve">Abgleich mit dem </w:t>
            </w:r>
            <w:r>
              <w:t>eigene</w:t>
            </w:r>
            <w:r>
              <w:t>n gedanklichen Spektrum.</w:t>
            </w:r>
          </w:p>
          <w:p>
            <w:pPr>
              <w:rPr>
                <w:b/>
                <w:color w:themeColor="text2" w:themeShade="BF" w:val="17365D"/>
              </w:rPr>
            </w:pPr>
          </w:p>
          <w:p>
            <w:pPr>
              <w:tabs>
                <w:tab w:pos="4860" w:val="left"/>
              </w:tabs>
            </w:pPr>
            <w:r>
              <w:tab/>
            </w:r>
          </w:p>
        </w:tc>
      </w:tr>
      <w:tr>
        <w:tc>
          <w:tcPr>
            <w:tcW w:type="dxa" w:w="567"/>
          </w:tcPr>
          <w:p>
            <w:pPr>
              <w:spacing w:after="120"/>
              <w:rPr>
                <w:b/>
                <w:color w:themeColor="text2" w:themeShade="BF" w:val="17365D"/>
                <w:sz w:val="24"/>
                <w:szCs w:val="24"/>
              </w:rPr>
            </w:pPr>
            <w:r>
              <w:rPr>
                <w:b/>
                <w:color w:themeColor="text2" w:themeShade="BF" w:val="17365D"/>
                <w:sz w:val="24"/>
                <w:szCs w:val="24"/>
              </w:rPr>
              <w:lastRenderedPageBreak/>
              <w:sym w:char="F04A" w:font="Wingdings"/>
            </w:r>
          </w:p>
        </w:tc>
        <w:tc>
          <w:tcPr>
            <w:tcW w:type="dxa" w:w="8393"/>
          </w:tcPr>
          <w:p>
            <w:pPr>
              <w:rPr>
                <w:b/>
                <w:color w:themeColor="text2" w:themeShade="BF" w:val="17365D"/>
              </w:rPr>
            </w:pPr>
            <w:r>
              <w:t xml:space="preserve">Eine eigene Ausarbeitung </w:t>
            </w:r>
            <w:r>
              <w:t xml:space="preserve">der Internationalisierungsstrategie </w:t>
            </w:r>
            <w:r>
              <w:t xml:space="preserve">kann nach der gleichen Gliederung strukturiert werden.  </w:t>
            </w:r>
          </w:p>
        </w:tc>
      </w:tr>
    </w:tbl>
    <w:tbl>
      <w:tblPr>
        <w:tblStyle w:val="HelleSchattierung-Akzent1"/>
        <w:tblW w:type="dxa" w:w="14332"/>
        <w:tblLook w:firstColumn="1" w:firstRow="1" w:lastColumn="0" w:lastRow="0" w:noHBand="0" w:noVBand="1" w:val="04A0"/>
      </w:tblPr>
      <w:tblGrid>
        <w:gridCol w:w="381"/>
        <w:gridCol w:w="7179"/>
        <w:gridCol w:w="400"/>
        <w:gridCol w:w="400"/>
        <w:gridCol w:w="400"/>
        <w:gridCol w:w="400"/>
        <w:gridCol w:w="400"/>
        <w:gridCol w:w="4772"/>
      </w:tblGrid>
      <w:tr>
        <w:trPr>
          <w:cnfStyle w:evenHBand="0" w:evenVBand="0" w:firstColumn="0" w:firstRow="1" w:firstRowFirstColumn="0" w:firstRowLastColumn="0" w:lastColumn="0" w:lastRow="0" w:lastRowFirstColumn="0" w:lastRowLastColumn="0" w:oddHBand="0" w:oddVBand="0" w:val="100000000000"/>
          <w:trHeight w:val="480"/>
        </w:trPr>
        <w:tc>
          <w:tcPr>
            <w:cnfStyle w:evenHBand="0" w:evenVBand="0" w:firstColumn="1" w:firstRow="0" w:firstRowFirstColumn="0" w:firstRowLastColumn="0" w:lastColumn="0" w:lastRow="0" w:lastRowFirstColumn="0" w:lastRowLastColumn="0" w:oddHBand="0" w:oddVBand="0" w:val="001000000000"/>
            <w:tcW w:type="dxa" w:w="381"/>
            <w:shd w:color="auto" w:fill="95B3D7" w:themeFill="accent1" w:themeFillTint="99" w:val="clear"/>
            <w:noWrap/>
            <w:vAlign w:val="center"/>
            <w:hideMark/>
          </w:tcPr>
          <w:p>
            <w:pPr>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lastRenderedPageBreak/>
              <w:t>A</w:t>
            </w:r>
          </w:p>
        </w:tc>
        <w:tc>
          <w:tcPr>
            <w:tcW w:type="dxa" w:w="7179"/>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Leitbild, strategische Planung und Personalentwicklung</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1</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2</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3</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4</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5</w:t>
            </w:r>
          </w:p>
        </w:tc>
        <w:tc>
          <w:tcPr>
            <w:tcW w:type="dxa" w:w="4772"/>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Stichworte zum Stand und zur angestrebten Entwicklung</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Im Leitbild der Einrichtung (ggf. Schulprogramm) </w:t>
            </w:r>
            <w:r>
              <w:rPr>
                <w:rFonts w:ascii="Arial Narrow" w:cs="Calibri" w:eastAsia="Times New Roman" w:hAnsi="Arial Narrow"/>
                <w:color w:val="000000"/>
                <w:sz w:val="18"/>
                <w:szCs w:val="18"/>
                <w:lang w:eastAsia="de-DE"/>
              </w:rPr>
              <w:t>ist die</w:t>
            </w:r>
            <w:r>
              <w:rPr>
                <w:rFonts w:ascii="Arial Narrow" w:cs="Calibri" w:eastAsia="Times New Roman" w:hAnsi="Arial Narrow"/>
                <w:color w:val="000000"/>
                <w:sz w:val="18"/>
                <w:szCs w:val="18"/>
                <w:lang w:eastAsia="de-DE"/>
              </w:rPr>
              <w:t xml:space="preserve"> internationale </w:t>
            </w:r>
            <w:r>
              <w:rPr>
                <w:rFonts w:ascii="Arial Narrow" w:cs="Calibri" w:eastAsia="Times New Roman" w:hAnsi="Arial Narrow"/>
                <w:color w:val="000000"/>
                <w:sz w:val="18"/>
                <w:szCs w:val="18"/>
                <w:lang w:eastAsia="de-DE"/>
              </w:rPr>
              <w:t>Ausrichtung</w:t>
            </w:r>
            <w:r>
              <w:rPr>
                <w:rFonts w:ascii="Arial Narrow" w:cs="Calibri" w:eastAsia="Times New Roman" w:hAnsi="Arial Narrow"/>
                <w:color w:val="000000"/>
                <w:sz w:val="18"/>
                <w:szCs w:val="18"/>
                <w:lang w:eastAsia="de-DE"/>
              </w:rPr>
              <w:t xml:space="preserve"> verankert.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Die Einrichtung hat definiert, welche übergeordneten Ziele durch Internationalisierung gestärkt werden sollen.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3</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Unsere Einrichtung hat eine mittel- und langfristige Planung bezogen auf die internationale Arbeit.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4</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strategische Planung wird heruntergebrochen auf einzel</w:t>
            </w:r>
            <w:r>
              <w:rPr>
                <w:rFonts w:ascii="Arial Narrow" w:cs="Calibri" w:eastAsia="Times New Roman" w:hAnsi="Arial Narrow"/>
                <w:color w:val="000000"/>
                <w:sz w:val="18"/>
                <w:szCs w:val="18"/>
                <w:lang w:eastAsia="de-DE"/>
              </w:rPr>
              <w:t>n</w:t>
            </w:r>
            <w:r>
              <w:rPr>
                <w:rFonts w:ascii="Arial Narrow" w:cs="Calibri" w:eastAsia="Times New Roman" w:hAnsi="Arial Narrow"/>
                <w:color w:val="000000"/>
                <w:sz w:val="18"/>
                <w:szCs w:val="18"/>
                <w:lang w:eastAsia="de-DE"/>
              </w:rPr>
              <w:t xml:space="preserve">e Teilschritte.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5</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Es sind Indikatoren definiert, um Entwicklung messbar zu machen.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6</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Internationale Arbeit ist Teil von Zielvereinbarungen mit übergeordneten Stellen (Schulbehörde; Geschäftsführung; übergeordnete Abteilung).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7</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Es gibt ein EU-Team / Verantwortliche Personen für die internationale Arbeit sind benannt.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8</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Die Zuordnung der internationalen Arbeit zu Personen ist im Organigramm der Einrichtung sichtbar.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9</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Das EU-Team verfügt über ausreichende Ressourcen für die internationale Arbeit (Zeit, Ausstattung, Fortbildung).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10</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Es gibt regelmäßigen Austausch zwischen EU-Team und Leitungsebene der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11</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Es gibt regelmäßigen Austausch zwischen EU-Team und anderen Kolleginnen und Kollegen der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12</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Lernaufenthalte im Ausland sind Teil der systematischen Personalentwicklung für das Bildungspersonal.</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13</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Fremdsprachenkompetenz des Bildungspersonals wird gefördert.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14</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(Berufs-)Bildungspolitische Ziele auf nationaler und auf europäischer Ebene sind beim Bildungspersonal der Einrichtung bekannt.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64"/>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15</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Kompetenzen, die Lehrende/Ausbilder außerhalb der Einrichtung erworben haben, sind identifiziert und werden in die internationale Arbeit/ in internationale Qualifizierungsinhalte eingebracht.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16</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Es gibt Raum, Impulse oder Ideen, die aus der internationalen Arbeit entstehen, zu beleuchten und zu reflektieren. In der Einrichtung gibt es die Offenheit, daraus Entstehendes auszup</w:t>
            </w:r>
            <w:r>
              <w:rPr>
                <w:rFonts w:ascii="Arial Narrow" w:cs="Calibri" w:eastAsia="Times New Roman" w:hAnsi="Arial Narrow"/>
                <w:color w:val="000000"/>
                <w:sz w:val="18"/>
                <w:szCs w:val="18"/>
                <w:lang w:eastAsia="de-DE"/>
              </w:rPr>
              <w:t>r</w:t>
            </w:r>
            <w:r>
              <w:rPr>
                <w:rFonts w:ascii="Arial Narrow" w:cs="Calibri" w:eastAsia="Times New Roman" w:hAnsi="Arial Narrow"/>
                <w:color w:val="000000"/>
                <w:sz w:val="18"/>
                <w:szCs w:val="18"/>
                <w:lang w:eastAsia="de-DE"/>
              </w:rPr>
              <w:t>obieren.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17</w:t>
            </w:r>
          </w:p>
        </w:tc>
        <w:tc>
          <w:tcPr>
            <w:tcW w:type="dxa" w:w="7179"/>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 der Einrichtung ist festgelegt, wie Ergebnisse aus der internationalen Arbeit festgestellt werden.</w:t>
            </w:r>
          </w:p>
        </w:tc>
        <w:tc>
          <w:tcPr>
            <w:tcW w:type="dxa" w:w="400"/>
            <w:noWrap/>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81"/>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18</w:t>
            </w:r>
          </w:p>
        </w:tc>
        <w:tc>
          <w:tcPr>
            <w:tcW w:type="dxa" w:w="7179"/>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Eine Strategie zur Nutzung und zur Verb</w:t>
            </w:r>
            <w:r>
              <w:rPr>
                <w:rFonts w:ascii="Arial Narrow" w:cs="Calibri" w:eastAsia="Times New Roman" w:hAnsi="Arial Narrow"/>
                <w:color w:val="000000"/>
                <w:sz w:val="18"/>
                <w:szCs w:val="18"/>
                <w:lang w:eastAsia="de-DE"/>
              </w:rPr>
              <w:t>r</w:t>
            </w:r>
            <w:r>
              <w:rPr>
                <w:rFonts w:ascii="Arial Narrow" w:cs="Calibri" w:eastAsia="Times New Roman" w:hAnsi="Arial Narrow"/>
                <w:color w:val="000000"/>
                <w:sz w:val="18"/>
                <w:szCs w:val="18"/>
                <w:lang w:eastAsia="de-DE"/>
              </w:rPr>
              <w:t xml:space="preserve">eitung der Ergebnisse ist definiert. </w:t>
            </w:r>
          </w:p>
        </w:tc>
        <w:tc>
          <w:tcPr>
            <w:tcW w:type="dxa" w:w="400"/>
            <w:noWrap/>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bl>
    <w:tbl>
      <w:tblPr>
        <w:tblStyle w:val="Tabellenraster"/>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14"/>
        <w:gridCol w:w="2948"/>
        <w:gridCol w:w="2387"/>
        <w:gridCol w:w="2531"/>
        <w:gridCol w:w="4206"/>
      </w:tblGrid>
      <w:tr>
        <w:trPr>
          <w:trHeight w:val="480"/>
        </w:trPr>
        <w:tc>
          <w:tcPr>
            <w:tcW w:type="dxa" w:w="2235"/>
            <w:vAlign w:val="center"/>
          </w:tcPr>
          <w:p>
            <w:pPr>
              <w:rPr>
                <w:i/>
              </w:rPr>
            </w:pPr>
            <w:r>
              <w:rPr>
                <w:i/>
                <w:color w:themeColor="background1" w:themeShade="80" w:val="808080"/>
                <w:sz w:val="16"/>
                <w:szCs w:val="16"/>
              </w:rPr>
              <w:t>1 Das ist für uns nicht wichtig</w:t>
            </w:r>
          </w:p>
        </w:tc>
        <w:tc>
          <w:tcPr>
            <w:tcW w:type="dxa" w:w="2976"/>
            <w:vAlign w:val="center"/>
          </w:tcPr>
          <w:p>
            <w:pPr>
              <w:rPr>
                <w:i/>
              </w:rPr>
            </w:pPr>
            <w:r>
              <w:rPr>
                <w:i/>
                <w:color w:themeColor="background1" w:themeShade="80" w:val="808080"/>
                <w:sz w:val="16"/>
                <w:szCs w:val="16"/>
              </w:rPr>
              <w:t>2. Das möchten wir einführen / umsetzen.</w:t>
            </w:r>
          </w:p>
        </w:tc>
        <w:tc>
          <w:tcPr>
            <w:tcW w:type="dxa" w:w="2410"/>
            <w:vAlign w:val="center"/>
          </w:tcPr>
          <w:p>
            <w:pPr>
              <w:pStyle w:val="Kopfzeile"/>
              <w:rPr>
                <w:i/>
              </w:rPr>
            </w:pPr>
            <w:r>
              <w:rPr>
                <w:i/>
                <w:color w:themeColor="background1" w:themeShade="80" w:val="808080"/>
                <w:sz w:val="16"/>
                <w:szCs w:val="16"/>
              </w:rPr>
              <w:t>3 Das machen wir in Teilen schon</w:t>
            </w:r>
          </w:p>
        </w:tc>
        <w:tc>
          <w:tcPr>
            <w:tcW w:type="dxa" w:w="2552"/>
            <w:vAlign w:val="center"/>
          </w:tcPr>
          <w:p>
            <w:pPr>
              <w:rPr>
                <w:i/>
              </w:rPr>
            </w:pPr>
            <w:r>
              <w:rPr>
                <w:i/>
                <w:color w:themeColor="background1" w:themeShade="80" w:val="808080"/>
                <w:sz w:val="16"/>
                <w:szCs w:val="16"/>
              </w:rPr>
              <w:t xml:space="preserve">4. Das machen wir regelmäßig, </w:t>
            </w:r>
            <w:r>
              <w:rPr>
                <w:i/>
                <w:color w:themeColor="background1" w:themeShade="80" w:val="808080"/>
                <w:sz w:val="16"/>
                <w:szCs w:val="16"/>
              </w:rPr>
              <w:br/>
              <w:t xml:space="preserve">    meist mit recht gutem Erfolg</w:t>
            </w:r>
          </w:p>
        </w:tc>
        <w:tc>
          <w:tcPr>
            <w:tcW w:type="dxa" w:w="4253"/>
            <w:vAlign w:val="center"/>
          </w:tcPr>
          <w:p>
            <w:pPr>
              <w:rPr>
                <w:i/>
              </w:rPr>
            </w:pPr>
            <w:r>
              <w:rPr>
                <w:i/>
                <w:color w:themeColor="background1" w:themeShade="80" w:val="808080"/>
                <w:sz w:val="16"/>
                <w:szCs w:val="16"/>
              </w:rPr>
              <w:t xml:space="preserve">5. Das machen wir bereits auf </w:t>
            </w:r>
            <w:r>
              <w:rPr>
                <w:i/>
                <w:color w:themeColor="background1" w:themeShade="80" w:val="808080"/>
                <w:sz w:val="16"/>
                <w:szCs w:val="16"/>
              </w:rPr>
              <w:br/>
              <w:t xml:space="preserve">    sehr hohem Niveau</w:t>
            </w:r>
          </w:p>
        </w:tc>
      </w:tr>
    </w:tbl>
    <w:tbl>
      <w:tblPr>
        <w:tblStyle w:val="HelleSchattierung-Akzent1"/>
        <w:tblW w:type="dxa" w:w="14332"/>
        <w:tblLook w:firstColumn="1" w:firstRow="1" w:lastColumn="0" w:lastRow="0" w:noHBand="0" w:noVBand="1" w:val="04A0"/>
      </w:tblPr>
      <w:tblGrid>
        <w:gridCol w:w="335"/>
        <w:gridCol w:w="7225"/>
        <w:gridCol w:w="400"/>
        <w:gridCol w:w="400"/>
        <w:gridCol w:w="400"/>
        <w:gridCol w:w="400"/>
        <w:gridCol w:w="400"/>
        <w:gridCol w:w="4772"/>
      </w:tblGrid>
      <w:tr>
        <w:trPr>
          <w:cnfStyle w:evenHBand="0" w:evenVBand="0" w:firstColumn="0" w:firstRow="1" w:firstRowFirstColumn="0" w:firstRowLastColumn="0" w:lastColumn="0" w:lastRow="0" w:lastRowFirstColumn="0" w:lastRowLastColumn="0" w:oddHBand="0" w:oddVBand="0" w:val="100000000000"/>
          <w:trHeight w:val="588"/>
        </w:trPr>
        <w:tc>
          <w:tcPr>
            <w:cnfStyle w:evenHBand="0" w:evenVBand="0" w:firstColumn="1" w:firstRow="0" w:firstRowFirstColumn="0" w:firstRowLastColumn="0" w:lastColumn="0" w:lastRow="0" w:lastRowFirstColumn="0" w:lastRowLastColumn="0" w:oddHBand="0" w:oddVBand="0" w:val="001000000000"/>
            <w:tcW w:type="dxa" w:w="320"/>
            <w:shd w:color="auto" w:fill="95B3D7" w:themeFill="accent1" w:themeFillTint="99" w:val="clear"/>
            <w:noWrap/>
            <w:vAlign w:val="center"/>
            <w:hideMark/>
          </w:tcPr>
          <w:p>
            <w:pPr>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B</w:t>
            </w:r>
          </w:p>
        </w:tc>
        <w:tc>
          <w:tcPr>
            <w:tcW w:type="dxa" w:w="7240"/>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Netzwerke und Kooperationen</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1</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2</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3</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4</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5</w:t>
            </w:r>
          </w:p>
        </w:tc>
        <w:tc>
          <w:tcPr>
            <w:tcW w:type="dxa" w:w="4772"/>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Stichworte zum Stand und zur angestrebten Entwicklung</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Zusammenarbeit mit den Partnern im Ausland ist erprobt und vertrauensvoll.</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Die Partner im Ausland sind mehr als vermittelnde Partner: Sie sind geeignete Partner für die Zusammenarbeit der Einrichtungen auf fachlicher oder bildungspolitischer Ebene.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Die Zusammenarbeit mit dem ausländischen Partner geht über das Durchführen von Mobilitäten für  Teilnehmende hinaus.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Erweiterung der Partnerschaften im Ausland (Umfang, Art der themat. Zusammenarbeit) ist Ziel der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Dem Aufbau und der Pflege von Beziehungen und Partnerschaften mit Einrichtungen im Ausland wird ausreichend Aufmerksamkeit geschenkt.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6</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Beziehung zu den Partnereinrichtungen gründet nicht nur auf den guten persönlichen Kontakten einzelner Personen aus der Einrichtung, sie ist institutionell gefestigt.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7</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Kooperationen und Netzwerke in der Region oder auf sektoraler Ebene werden genutzt, um Erfahrungen und Ergebnisse der internationalen Arbeit einzubringen.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8</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Einrichtung wird als erfahrener und kompetenter Partner für internationale Arbeit wahrgenommen.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bl>
    <w:tbl>
      <w:tblPr>
        <w:tblStyle w:val="Tabellenraster"/>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14"/>
        <w:gridCol w:w="2948"/>
        <w:gridCol w:w="2387"/>
        <w:gridCol w:w="2531"/>
        <w:gridCol w:w="4206"/>
      </w:tblGrid>
      <w:tr>
        <w:trPr>
          <w:trHeight w:val="480"/>
        </w:trPr>
        <w:tc>
          <w:tcPr>
            <w:tcW w:type="dxa" w:w="2235"/>
            <w:vAlign w:val="center"/>
          </w:tcPr>
          <w:p>
            <w:pPr>
              <w:rPr>
                <w:i/>
              </w:rPr>
            </w:pPr>
            <w:r>
              <w:rPr>
                <w:i/>
                <w:color w:themeColor="background1" w:themeShade="80" w:val="808080"/>
                <w:sz w:val="16"/>
                <w:szCs w:val="16"/>
              </w:rPr>
              <w:t>1 Das ist für uns nicht wichtig</w:t>
            </w:r>
          </w:p>
        </w:tc>
        <w:tc>
          <w:tcPr>
            <w:tcW w:type="dxa" w:w="2976"/>
            <w:vAlign w:val="center"/>
          </w:tcPr>
          <w:p>
            <w:pPr>
              <w:rPr>
                <w:i/>
              </w:rPr>
            </w:pPr>
            <w:r>
              <w:rPr>
                <w:i/>
                <w:color w:themeColor="background1" w:themeShade="80" w:val="808080"/>
                <w:sz w:val="16"/>
                <w:szCs w:val="16"/>
              </w:rPr>
              <w:t>2. Das möchten wir einführen / umsetzen.</w:t>
            </w:r>
          </w:p>
        </w:tc>
        <w:tc>
          <w:tcPr>
            <w:tcW w:type="dxa" w:w="2410"/>
            <w:vAlign w:val="center"/>
          </w:tcPr>
          <w:p>
            <w:pPr>
              <w:pStyle w:val="Kopfzeile"/>
              <w:rPr>
                <w:i/>
              </w:rPr>
            </w:pPr>
            <w:r>
              <w:rPr>
                <w:i/>
                <w:color w:themeColor="background1" w:themeShade="80" w:val="808080"/>
                <w:sz w:val="16"/>
                <w:szCs w:val="16"/>
              </w:rPr>
              <w:t>3 Das machen wir in Teilen schon</w:t>
            </w:r>
          </w:p>
        </w:tc>
        <w:tc>
          <w:tcPr>
            <w:tcW w:type="dxa" w:w="2552"/>
            <w:vAlign w:val="center"/>
          </w:tcPr>
          <w:p>
            <w:pPr>
              <w:rPr>
                <w:i/>
              </w:rPr>
            </w:pPr>
            <w:r>
              <w:rPr>
                <w:i/>
                <w:color w:themeColor="background1" w:themeShade="80" w:val="808080"/>
                <w:sz w:val="16"/>
                <w:szCs w:val="16"/>
              </w:rPr>
              <w:t xml:space="preserve">4. Das machen wir regelmäßig, </w:t>
            </w:r>
            <w:r>
              <w:rPr>
                <w:i/>
                <w:color w:themeColor="background1" w:themeShade="80" w:val="808080"/>
                <w:sz w:val="16"/>
                <w:szCs w:val="16"/>
              </w:rPr>
              <w:br/>
              <w:t xml:space="preserve">    meist mit recht gutem Erfolg</w:t>
            </w:r>
          </w:p>
        </w:tc>
        <w:tc>
          <w:tcPr>
            <w:tcW w:type="dxa" w:w="4253"/>
            <w:vAlign w:val="center"/>
          </w:tcPr>
          <w:p>
            <w:pPr>
              <w:rPr>
                <w:i/>
              </w:rPr>
            </w:pPr>
            <w:r>
              <w:rPr>
                <w:i/>
                <w:color w:themeColor="background1" w:themeShade="80" w:val="808080"/>
                <w:sz w:val="16"/>
                <w:szCs w:val="16"/>
              </w:rPr>
              <w:t xml:space="preserve">5. Das machen wir bereits auf </w:t>
            </w:r>
            <w:r>
              <w:rPr>
                <w:i/>
                <w:color w:themeColor="background1" w:themeShade="80" w:val="808080"/>
                <w:sz w:val="16"/>
                <w:szCs w:val="16"/>
              </w:rPr>
              <w:br/>
              <w:t xml:space="preserve">    sehr hohem Niveau</w:t>
            </w:r>
          </w:p>
        </w:tc>
      </w:tr>
    </w:tbl>
    <w:tbl>
      <w:tblPr>
        <w:tblStyle w:val="HelleSchattierung-Akzent1"/>
        <w:tblW w:type="dxa" w:w="14332"/>
        <w:tblLook w:firstColumn="1" w:firstRow="1" w:lastColumn="0" w:lastRow="0" w:noHBand="0" w:noVBand="1" w:val="04A0"/>
      </w:tblPr>
      <w:tblGrid>
        <w:gridCol w:w="381"/>
        <w:gridCol w:w="7179"/>
        <w:gridCol w:w="400"/>
        <w:gridCol w:w="400"/>
        <w:gridCol w:w="400"/>
        <w:gridCol w:w="400"/>
        <w:gridCol w:w="400"/>
        <w:gridCol w:w="4772"/>
      </w:tblGrid>
      <w:tr>
        <w:trPr>
          <w:cnfStyle w:evenHBand="0" w:evenVBand="0" w:firstColumn="0" w:firstRow="1" w:firstRowFirstColumn="0" w:firstRowLastColumn="0" w:lastColumn="0" w:lastRow="0" w:lastRowFirstColumn="0" w:lastRowLastColumn="0" w:oddHBand="0" w:oddVBand="0" w:val="100000000000"/>
          <w:trHeight w:val="648"/>
        </w:trPr>
        <w:tc>
          <w:tcPr>
            <w:cnfStyle w:evenHBand="0" w:evenVBand="0" w:firstColumn="1" w:firstRow="0" w:firstRowFirstColumn="0" w:firstRowLastColumn="0" w:lastColumn="0" w:lastRow="0" w:lastRowFirstColumn="0" w:lastRowLastColumn="0" w:oddHBand="0" w:oddVBand="0" w:val="001000000000"/>
            <w:tcW w:type="dxa" w:w="320"/>
            <w:shd w:color="auto" w:fill="95B3D7" w:themeFill="accent1" w:themeFillTint="99" w:val="clear"/>
            <w:noWrap/>
            <w:vAlign w:val="center"/>
            <w:hideMark/>
          </w:tcPr>
          <w:p>
            <w:pPr>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C</w:t>
            </w:r>
          </w:p>
        </w:tc>
        <w:tc>
          <w:tcPr>
            <w:tcW w:type="dxa" w:w="7240"/>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Internationale Qualifizierungsinhalte</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1</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2</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3</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4</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5</w:t>
            </w:r>
          </w:p>
        </w:tc>
        <w:tc>
          <w:tcPr>
            <w:tcW w:type="dxa" w:w="4772"/>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Stichworte zum Stand und zur angestrebten Entwicklung</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International ausgerichtete Lerninhalte sind fester Bestandteil des Lernangebots.</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Europäische Themen werden systematisch im Unterricht integriert ("Europa-Curriculum").</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Einrichtung bietet international ausgerichtete Wahlbausteine oder Zusatzqualifikationen an.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Lernende können Ausbildungsabschnitte im Ausland absolvieren.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(Ausgewählte) Lerninhalte werden in internationalen Kooperationen (Gastlehrer; virtueller Klassenraum) behandelt.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6</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 der Einrichtung wird auf international anerkannte Zertifikate (z.B. Europ. Computerführerschein) vorbereitet.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7</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Einrichtung bietet Unterricht in verschiedenen Fremdsprachen an (Pflicht- oder Wahlkurse).</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8</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Einrichtung bietet die Möglichkeit, Fremdsprachen über das für die Schulform vorgeschriebene Maß hinaus zu lernen.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9</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Es gibt Bildungsgänge mit bilingualem Fachunterricht.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10</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Einrichtung unterstützt Lernende beim Erwerb von Fremdsprachenzertifikaten wie DELF, LCCI,</w:t>
            </w:r>
            <w:r>
              <w:rPr>
                <w:rFonts w:ascii="Arial Narrow" w:cs="Calibri" w:eastAsia="Times New Roman" w:hAnsi="Arial Narrow"/>
                <w:color w:val="000000"/>
                <w:sz w:val="18"/>
                <w:szCs w:val="18"/>
                <w:lang w:eastAsia="de-DE"/>
              </w:rPr>
              <w:t xml:space="preserve"> </w:t>
            </w:r>
            <w:r>
              <w:rPr>
                <w:rFonts w:ascii="Arial Narrow" w:cs="Calibri" w:eastAsia="Times New Roman" w:hAnsi="Arial Narrow"/>
                <w:color w:val="000000"/>
                <w:sz w:val="18"/>
                <w:szCs w:val="18"/>
                <w:lang w:eastAsia="de-DE"/>
              </w:rPr>
              <w:t>u.a. (Vorbereitung, ggf. Abnahme der Prüfung)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792"/>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Es gibt auch außerhalb des Unterrichts/regulären Bildungsangebots Aktivitäten zu den Themen Europa, Europäische Bürgerschaft, Vielfalt der Kulturen und Sprachen (z.B. Projekte; Projekttage; Beteiligung an Initiativen; Schaffen von  Begegnungen).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Es werden Kurse (Trainings/Weiterbildungen) zum Thema interkulturelles Lernen und interkulturelle Kompetenzen angeboten.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Vielfalt der Sprachen und Kulturen in unserer Einrichtung werden sichtbar und erfahrbar gemacht. Sie haben Einfluss auf das Bildungsangebot in der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euro</w:t>
            </w:r>
            <w:r>
              <w:rPr>
                <w:rFonts w:ascii="Arial Narrow" w:cs="Calibri" w:eastAsia="Times New Roman" w:hAnsi="Arial Narrow"/>
                <w:i/>
                <w:iCs/>
                <w:color w:val="000000"/>
                <w:sz w:val="18"/>
                <w:szCs w:val="18"/>
                <w:lang w:eastAsia="de-DE"/>
              </w:rPr>
              <w:t>pass</w:t>
            </w:r>
            <w:r>
              <w:rPr>
                <w:rFonts w:ascii="Arial Narrow" w:cs="Calibri" w:eastAsia="Times New Roman" w:hAnsi="Arial Narrow"/>
                <w:color w:val="000000"/>
                <w:sz w:val="18"/>
                <w:szCs w:val="18"/>
                <w:lang w:eastAsia="de-DE"/>
              </w:rPr>
              <w:t xml:space="preserve"> Instrumente: Lernende werden angeleitet, den </w:t>
            </w:r>
            <w:r>
              <w:rPr>
                <w:rFonts w:ascii="Arial Narrow" w:cs="Calibri" w:eastAsia="Times New Roman" w:hAnsi="Arial Narrow"/>
                <w:i/>
                <w:iCs/>
                <w:color w:val="000000"/>
                <w:sz w:val="18"/>
                <w:szCs w:val="18"/>
                <w:lang w:eastAsia="de-DE"/>
              </w:rPr>
              <w:t>Europäischen Lebenslauf</w:t>
            </w:r>
            <w:r>
              <w:rPr>
                <w:rFonts w:ascii="Arial Narrow" w:cs="Calibri" w:eastAsia="Times New Roman" w:hAnsi="Arial Narrow"/>
                <w:color w:val="000000"/>
                <w:sz w:val="18"/>
                <w:szCs w:val="18"/>
                <w:lang w:eastAsia="de-DE"/>
              </w:rPr>
              <w:t xml:space="preserve"> und den </w:t>
            </w:r>
            <w:r>
              <w:rPr>
                <w:rFonts w:ascii="Arial Narrow" w:cs="Calibri" w:eastAsia="Times New Roman" w:hAnsi="Arial Narrow"/>
                <w:i/>
                <w:iCs/>
                <w:color w:val="000000"/>
                <w:sz w:val="18"/>
                <w:szCs w:val="18"/>
                <w:lang w:eastAsia="de-DE"/>
              </w:rPr>
              <w:t>Sprachenpass</w:t>
            </w:r>
            <w:r>
              <w:rPr>
                <w:rFonts w:ascii="Arial Narrow" w:cs="Calibri" w:eastAsia="Times New Roman" w:hAnsi="Arial Narrow"/>
                <w:color w:val="000000"/>
                <w:sz w:val="18"/>
                <w:szCs w:val="18"/>
                <w:lang w:eastAsia="de-DE"/>
              </w:rPr>
              <w:t xml:space="preserve"> ausfüllen zu können.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Das Bildungspersonal kennt das Spektrum der euro</w:t>
            </w:r>
            <w:r>
              <w:rPr>
                <w:rFonts w:ascii="Arial Narrow" w:cs="Calibri" w:eastAsia="Times New Roman" w:hAnsi="Arial Narrow"/>
                <w:i/>
                <w:iCs/>
                <w:color w:val="000000"/>
                <w:sz w:val="18"/>
                <w:szCs w:val="18"/>
                <w:lang w:eastAsia="de-DE"/>
              </w:rPr>
              <w:t>pass</w:t>
            </w:r>
            <w:r>
              <w:rPr>
                <w:rFonts w:ascii="Arial Narrow" w:cs="Calibri" w:eastAsia="Times New Roman" w:hAnsi="Arial Narrow"/>
                <w:color w:val="000000"/>
                <w:sz w:val="18"/>
                <w:szCs w:val="18"/>
                <w:lang w:eastAsia="de-DE"/>
              </w:rPr>
              <w:t xml:space="preserve"> Dokumente und setzt sie ein.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bl>
    <w:tbl>
      <w:tblPr>
        <w:tblStyle w:val="Tabellenraster"/>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14"/>
        <w:gridCol w:w="2948"/>
        <w:gridCol w:w="2387"/>
        <w:gridCol w:w="2531"/>
        <w:gridCol w:w="4206"/>
      </w:tblGrid>
      <w:tr>
        <w:trPr>
          <w:trHeight w:val="480"/>
        </w:trPr>
        <w:tc>
          <w:tcPr>
            <w:tcW w:type="dxa" w:w="2235"/>
            <w:vAlign w:val="center"/>
          </w:tcPr>
          <w:p>
            <w:pPr>
              <w:rPr>
                <w:i/>
              </w:rPr>
            </w:pPr>
            <w:r>
              <w:rPr>
                <w:i/>
                <w:color w:themeColor="background1" w:themeShade="80" w:val="808080"/>
                <w:sz w:val="16"/>
                <w:szCs w:val="16"/>
              </w:rPr>
              <w:t>1 Das ist für uns nicht wichtig</w:t>
            </w:r>
          </w:p>
        </w:tc>
        <w:tc>
          <w:tcPr>
            <w:tcW w:type="dxa" w:w="2976"/>
            <w:vAlign w:val="center"/>
          </w:tcPr>
          <w:p>
            <w:pPr>
              <w:rPr>
                <w:i/>
              </w:rPr>
            </w:pPr>
            <w:r>
              <w:rPr>
                <w:i/>
                <w:color w:themeColor="background1" w:themeShade="80" w:val="808080"/>
                <w:sz w:val="16"/>
                <w:szCs w:val="16"/>
              </w:rPr>
              <w:t>2. Das möchten wir einführen / umsetzen.</w:t>
            </w:r>
          </w:p>
        </w:tc>
        <w:tc>
          <w:tcPr>
            <w:tcW w:type="dxa" w:w="2410"/>
            <w:vAlign w:val="center"/>
          </w:tcPr>
          <w:p>
            <w:pPr>
              <w:pStyle w:val="Kopfzeile"/>
              <w:rPr>
                <w:i/>
              </w:rPr>
            </w:pPr>
            <w:r>
              <w:rPr>
                <w:i/>
                <w:color w:themeColor="background1" w:themeShade="80" w:val="808080"/>
                <w:sz w:val="16"/>
                <w:szCs w:val="16"/>
              </w:rPr>
              <w:t>3 Das machen wir in Teilen schon</w:t>
            </w:r>
          </w:p>
        </w:tc>
        <w:tc>
          <w:tcPr>
            <w:tcW w:type="dxa" w:w="2552"/>
            <w:vAlign w:val="center"/>
          </w:tcPr>
          <w:p>
            <w:pPr>
              <w:rPr>
                <w:i/>
              </w:rPr>
            </w:pPr>
            <w:r>
              <w:rPr>
                <w:i/>
                <w:color w:themeColor="background1" w:themeShade="80" w:val="808080"/>
                <w:sz w:val="16"/>
                <w:szCs w:val="16"/>
              </w:rPr>
              <w:t xml:space="preserve">4. Das machen wir regelmäßig, </w:t>
            </w:r>
            <w:r>
              <w:rPr>
                <w:i/>
                <w:color w:themeColor="background1" w:themeShade="80" w:val="808080"/>
                <w:sz w:val="16"/>
                <w:szCs w:val="16"/>
              </w:rPr>
              <w:br/>
              <w:t xml:space="preserve">    meist mit recht gutem Erfolg</w:t>
            </w:r>
          </w:p>
        </w:tc>
        <w:tc>
          <w:tcPr>
            <w:tcW w:type="dxa" w:w="4253"/>
            <w:vAlign w:val="center"/>
          </w:tcPr>
          <w:p>
            <w:pPr>
              <w:rPr>
                <w:i/>
              </w:rPr>
            </w:pPr>
            <w:r>
              <w:rPr>
                <w:i/>
                <w:color w:themeColor="background1" w:themeShade="80" w:val="808080"/>
                <w:sz w:val="16"/>
                <w:szCs w:val="16"/>
              </w:rPr>
              <w:t xml:space="preserve">5. Das machen wir bereits auf </w:t>
            </w:r>
            <w:r>
              <w:rPr>
                <w:i/>
                <w:color w:themeColor="background1" w:themeShade="80" w:val="808080"/>
                <w:sz w:val="16"/>
                <w:szCs w:val="16"/>
              </w:rPr>
              <w:br/>
              <w:t xml:space="preserve">    sehr hohem Niveau</w:t>
            </w:r>
          </w:p>
        </w:tc>
      </w:tr>
    </w:tbl>
    <w:tbl>
      <w:tblPr>
        <w:tblStyle w:val="HelleSchattierung-Akzent1"/>
        <w:tblW w:type="dxa" w:w="14332"/>
        <w:tblLook w:firstColumn="1" w:firstRow="1" w:lastColumn="0" w:lastRow="0" w:noHBand="0" w:noVBand="1" w:val="04A0"/>
      </w:tblPr>
      <w:tblGrid>
        <w:gridCol w:w="381"/>
        <w:gridCol w:w="7179"/>
        <w:gridCol w:w="400"/>
        <w:gridCol w:w="400"/>
        <w:gridCol w:w="400"/>
        <w:gridCol w:w="400"/>
        <w:gridCol w:w="400"/>
        <w:gridCol w:w="4772"/>
      </w:tblGrid>
      <w:tr>
        <w:trPr>
          <w:cnfStyle w:evenHBand="0" w:evenVBand="0" w:firstColumn="0" w:firstRow="1" w:firstRowFirstColumn="0" w:firstRowLastColumn="0" w:lastColumn="0" w:lastRow="0" w:lastRowFirstColumn="0" w:lastRowLastColumn="0" w:oddHBand="0" w:oddVBand="0" w:val="100000000000"/>
          <w:trHeight w:val="570"/>
        </w:trPr>
        <w:tc>
          <w:tcPr>
            <w:cnfStyle w:evenHBand="0" w:evenVBand="0" w:firstColumn="1" w:firstRow="0" w:firstRowFirstColumn="0" w:firstRowLastColumn="0" w:lastColumn="0" w:lastRow="0" w:lastRowFirstColumn="0" w:lastRowLastColumn="0" w:oddHBand="0" w:oddVBand="0" w:val="001000000000"/>
            <w:tcW w:type="dxa" w:w="320"/>
            <w:shd w:color="auto" w:fill="95B3D7" w:themeFill="accent1" w:themeFillTint="99" w:val="clear"/>
            <w:noWrap/>
            <w:vAlign w:val="center"/>
            <w:hideMark/>
          </w:tcPr>
          <w:p>
            <w:pPr>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D</w:t>
            </w:r>
          </w:p>
        </w:tc>
        <w:tc>
          <w:tcPr>
            <w:tcW w:type="dxa" w:w="7240"/>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Internationale Aktivitäten und Mobilität</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1</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2</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3</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4</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5</w:t>
            </w:r>
          </w:p>
        </w:tc>
        <w:tc>
          <w:tcPr>
            <w:tcW w:type="dxa" w:w="4772"/>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Stichworte zum Stand und zur angestrebten Entwicklung</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Wir bieten Auslandsaufenthalte für Lernende aus unserem Haus an.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Das Bildungspersonal in unserer Einrichtung kann an Weiterbildungen im Ausland teilnehmen.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Unsere Einrichtung bietet Auslandsaufenthalte für Personen aus anderen Einrichtungen an.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52"/>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Unsere Einrichtung nimmt Personen aus anderen Ländern für Lernaufenthalte auf (Lernende oder Bildungspersonal).</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Unsere Einrichtung vermittelt Lernende oder Bildungspersonal aus anderen Ländern in adäquate aufnehmende Einrichtungen.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6</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 Zukunft sollen mehr Personen an Mobilitäten teilnehmen (Quantität).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7</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 Zukunft sollen auch andere Personen als bisher Mobilitäten absolvieren (Ausweitung auf andere Fachbereiche/Zielgruppen).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8</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Personen in unserer Einrichtung absolvieren Lernaufenthalte im Ausland außerhalb des EU-Programms PLL/Erasmus+.</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9</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Unsere Einrichtung arbeitet auch außerhalb von Mobilität mit Partnern im Ausland zusammen (Partnerschaftsprojekte; andere Förderprogramme; thematische Zusammenarbeit).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10</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Lehrer/Ausbilder in unserer Einrichtung ermutigen Lernende zu Auslandsaufenthalten und können sie für weitere Schritte beraten.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 Übereinstimmung mit der strategischen Ausrichtung der Einrichtung sind Ziele für die Mobilitäten festgelegt. Das Erreichen der Ziele wird durch Evaluationsverfahren festgestellt.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792"/>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Bei der Vorbereitung der Teilnehmenden nehmen die Themen interkulturelles Lernen, </w:t>
            </w:r>
            <w:r>
              <w:rPr>
                <w:rFonts w:ascii="Arial Narrow" w:cs="Calibri" w:eastAsia="Times New Roman" w:hAnsi="Arial Narrow"/>
                <w:i/>
                <w:iCs/>
                <w:color w:val="000000"/>
                <w:sz w:val="18"/>
                <w:szCs w:val="18"/>
                <w:lang w:eastAsia="de-DE"/>
              </w:rPr>
              <w:t>cultural awarene</w:t>
            </w:r>
            <w:r>
              <w:rPr>
                <w:rFonts w:ascii="Arial Narrow" w:cs="Calibri" w:eastAsia="Times New Roman" w:hAnsi="Arial Narrow"/>
                <w:i/>
                <w:iCs/>
                <w:color w:val="000000"/>
                <w:sz w:val="18"/>
                <w:szCs w:val="18"/>
                <w:lang w:eastAsia="de-DE"/>
              </w:rPr>
              <w:t>s</w:t>
            </w:r>
            <w:r>
              <w:rPr>
                <w:rFonts w:ascii="Arial Narrow" w:cs="Calibri" w:eastAsia="Times New Roman" w:hAnsi="Arial Narrow"/>
                <w:i/>
                <w:iCs/>
                <w:color w:val="000000"/>
                <w:sz w:val="18"/>
                <w:szCs w:val="18"/>
                <w:lang w:eastAsia="de-DE"/>
              </w:rPr>
              <w:t>s</w:t>
            </w:r>
            <w:r>
              <w:rPr>
                <w:rFonts w:ascii="Arial Narrow" w:cs="Calibri" w:eastAsia="Times New Roman" w:hAnsi="Arial Narrow"/>
                <w:color w:val="000000"/>
                <w:sz w:val="18"/>
                <w:szCs w:val="18"/>
                <w:lang w:eastAsia="de-DE"/>
              </w:rPr>
              <w:t xml:space="preserve">, angemessene Kommunikation sowie Vorbereitung auf mögliche schwierige Situationen einen deutlichen Raum ein.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Inhalte der Auslandsaufenthalte der Teilnehmenden werden lernergebnisorientiert abgestimmt und dokumentiert (europäischer Standard nach ECVET).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Mit dem ausländischen Partner ist abgestimmt, wie Fortschritte und Ergebnisse des Lernprozesses festgestellt werden.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Ergebnisse von Lernaufenthalten werden mit dem Mobilitätspass dokumentiert.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16</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Erfahrungen von Rückkehrenden werden sichtbar gemacht und genutzt (Vorbereitung zukünftiger TN; Außenwirkung; Erfolgsgeschichten)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lastRenderedPageBreak/>
              <w:t>17</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Interkultureller Kompetenzzuwachs wird evaluiert.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18</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Mobilitäten sind ein fester Bestandteil unseres Lernangebotes und unseres Profils.</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19</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Wir nutzen Mobilitäten gezielt, um unsere Bildungsangebote attraktiv zu gestalten.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20</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xml:space="preserve">Wir stellen heraus, dass Mobilität einen Beitrag zur Fachkräftesicherung leisten kann.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Wir bleiben in Kontakt mit Absolventen und stellen fest, wie sich Auslandsaufenthalte auf die weitere berufliche und persönliche Entwicklung auswirken.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bl>
    <w:tbl>
      <w:tblPr>
        <w:tblStyle w:val="HelleSchattierung-Akzent1"/>
        <w:tblW w:type="dxa" w:w="14332"/>
        <w:tblLook w:firstColumn="1" w:firstRow="1" w:lastColumn="0" w:lastRow="0" w:noHBand="0" w:noVBand="1" w:val="04A0"/>
      </w:tblPr>
      <w:tblGrid>
        <w:gridCol w:w="326"/>
        <w:gridCol w:w="7234"/>
        <w:gridCol w:w="400"/>
        <w:gridCol w:w="400"/>
        <w:gridCol w:w="400"/>
        <w:gridCol w:w="400"/>
        <w:gridCol w:w="400"/>
        <w:gridCol w:w="4772"/>
      </w:tblGrid>
      <w:tr>
        <w:trPr>
          <w:cnfStyle w:evenHBand="0" w:evenVBand="0" w:firstColumn="0" w:firstRow="1" w:firstRowFirstColumn="0" w:firstRowLastColumn="0" w:lastColumn="0" w:lastRow="0" w:lastRowFirstColumn="0" w:lastRowLastColumn="0" w:oddHBand="0" w:oddVBand="0" w:val="100000000000"/>
          <w:trHeight w:val="495"/>
        </w:trPr>
        <w:tc>
          <w:tcPr>
            <w:cnfStyle w:evenHBand="0" w:evenVBand="0" w:firstColumn="1" w:firstRow="0" w:firstRowFirstColumn="0" w:firstRowLastColumn="0" w:lastColumn="0" w:lastRow="0" w:lastRowFirstColumn="0" w:lastRowLastColumn="0" w:oddHBand="0" w:oddVBand="0" w:val="001000000000"/>
            <w:tcW w:type="dxa" w:w="320"/>
            <w:shd w:color="auto" w:fill="95B3D7" w:themeFill="accent1" w:themeFillTint="99" w:val="clear"/>
            <w:noWrap/>
            <w:vAlign w:val="center"/>
            <w:hideMark/>
          </w:tcPr>
          <w:p>
            <w:pPr>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E</w:t>
            </w:r>
          </w:p>
        </w:tc>
        <w:tc>
          <w:tcPr>
            <w:tcW w:type="dxa" w:w="7240"/>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Qualitätssicherung in grenzüberschreitender Mobilität</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1</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2</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3</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4</w:t>
            </w:r>
          </w:p>
        </w:tc>
        <w:tc>
          <w:tcPr>
            <w:tcW w:type="dxa" w:w="400"/>
            <w:shd w:color="auto" w:fill="95B3D7" w:themeFill="accent1" w:themeFillTint="99" w:val="clear"/>
            <w:noWrap/>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5</w:t>
            </w:r>
          </w:p>
        </w:tc>
        <w:tc>
          <w:tcPr>
            <w:tcW w:type="dxa" w:w="4772"/>
            <w:shd w:color="auto" w:fill="95B3D7" w:themeFill="accent1" w:themeFillTint="99" w:val="clear"/>
            <w:vAlign w:val="center"/>
            <w:hideMark/>
          </w:tcPr>
          <w:p>
            <w:pPr>
              <w:cnfStyle w:evenHBand="0" w:evenVBand="0" w:firstColumn="0" w:firstRow="1" w:firstRowFirstColumn="0" w:firstRowLastColumn="0" w:lastColumn="0" w:lastRow="0" w:lastRowFirstColumn="0" w:lastRowLastColumn="0" w:oddHBand="0" w:oddVBand="0" w:val="1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Stichworte zum Stand und zur angestrebten Entwicklung</w:t>
            </w:r>
          </w:p>
        </w:tc>
      </w:tr>
      <w:tr>
        <w:trPr>
          <w:cnfStyle w:evenHBand="0" w:evenVBand="0" w:firstColumn="0" w:firstRow="0" w:firstRowFirstColumn="0" w:firstRowLastColumn="0" w:lastColumn="0" w:lastRow="0" w:lastRowFirstColumn="0" w:lastRowLastColumn="0" w:oddHBand="1" w:oddVBand="0" w:val="000000100000"/>
          <w:trHeight w:val="2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1</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Daten zu Mobilitäten werden systematisch erfasst.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64"/>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2</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organ</w:t>
            </w:r>
            <w:r>
              <w:rPr>
                <w:rFonts w:ascii="Arial Narrow" w:cs="Calibri" w:eastAsia="Times New Roman" w:hAnsi="Arial Narrow"/>
                <w:color w:val="000000"/>
                <w:sz w:val="18"/>
                <w:szCs w:val="18"/>
                <w:lang w:eastAsia="de-DE"/>
              </w:rPr>
              <w:t>i</w:t>
            </w:r>
            <w:r>
              <w:rPr>
                <w:rFonts w:ascii="Arial Narrow" w:cs="Calibri" w:eastAsia="Times New Roman" w:hAnsi="Arial Narrow"/>
                <w:color w:val="000000"/>
                <w:sz w:val="18"/>
                <w:szCs w:val="18"/>
                <w:lang w:eastAsia="de-DE"/>
              </w:rPr>
              <w:t xml:space="preserve">satorischen Phasen der Mobilität und die dazugehörigen Arbeitsschritte sind beschrieben und die  Verantwortlichkeiten benannt (Prozessbeschreibungen; Checklisten; Handreichung für Koordinatoren o.ä.) </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39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3</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admin</w:t>
            </w:r>
            <w:r>
              <w:rPr>
                <w:rFonts w:ascii="Arial Narrow" w:cs="Calibri" w:eastAsia="Times New Roman" w:hAnsi="Arial Narrow"/>
                <w:color w:val="000000"/>
                <w:sz w:val="18"/>
                <w:szCs w:val="18"/>
                <w:lang w:eastAsia="de-DE"/>
              </w:rPr>
              <w:t>i</w:t>
            </w:r>
            <w:r>
              <w:rPr>
                <w:rFonts w:ascii="Arial Narrow" w:cs="Calibri" w:eastAsia="Times New Roman" w:hAnsi="Arial Narrow"/>
                <w:color w:val="000000"/>
                <w:sz w:val="18"/>
                <w:szCs w:val="18"/>
                <w:lang w:eastAsia="de-DE"/>
              </w:rPr>
              <w:t>strativen Erfordernisse des Programms PLL/Erasmus+ sind Teil dieser Beschreibungen.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576"/>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4</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Qualitätssichernde Maßnahmen zwischen unserer Einrichtung, den Teilnehmenden und den Partnereinrichtungen vor, während und nach einer Mobilität  sind etabliert.</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5</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Am Ende der Mobilitäten gibt es eine systematische Auswertung mit Teilnehmenden, mit Partnern (Inland, Ausland) und auf der Ebene der eigenen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trHeight w:val="480"/>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6</w:t>
            </w:r>
          </w:p>
        </w:tc>
        <w:tc>
          <w:tcPr>
            <w:tcW w:type="dxa" w:w="7240"/>
            <w:hideMark/>
          </w:tcPr>
          <w:p>
            <w:pPr>
              <w:spacing w:after="80" w:before="80"/>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Erkenntnisse aus Auswertungen fließen systematisch in weitere Durchführungszyklen ein.</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0" w:oddVBand="0" w:val="0000000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r>
        <w:trPr>
          <w:cnfStyle w:evenHBand="0" w:evenVBand="0" w:firstColumn="0" w:firstRow="0" w:firstRowFirstColumn="0" w:firstRowLastColumn="0" w:lastColumn="0" w:lastRow="0" w:lastRowFirstColumn="0" w:lastRowLastColumn="0" w:oddHBand="1" w:oddVBand="0" w:val="000000100000"/>
          <w:trHeight w:val="528"/>
        </w:trPr>
        <w:tc>
          <w:tcPr>
            <w:cnfStyle w:evenHBand="0" w:evenVBand="0" w:firstColumn="1" w:firstRow="0" w:firstRowFirstColumn="0" w:firstRowLastColumn="0" w:lastColumn="0" w:lastRow="0" w:lastRowFirstColumn="0" w:lastRowLastColumn="0" w:oddHBand="0" w:oddVBand="0" w:val="001000000000"/>
            <w:tcW w:type="dxa" w:w="320"/>
            <w:noWrap/>
            <w:vAlign w:val="center"/>
            <w:hideMark/>
          </w:tcPr>
          <w:p>
            <w:pPr>
              <w:jc w:val="center"/>
              <w:rPr>
                <w:rFonts w:ascii="Arial Narrow" w:cs="Calibri" w:eastAsia="Times New Roman" w:hAnsi="Arial Narrow"/>
                <w:b w:val="0"/>
                <w:color w:themeColor="background1" w:themeShade="80" w:val="808080"/>
                <w:sz w:val="18"/>
                <w:szCs w:val="18"/>
                <w:lang w:eastAsia="de-DE"/>
              </w:rPr>
            </w:pPr>
            <w:r>
              <w:rPr>
                <w:rFonts w:ascii="Arial Narrow" w:cs="Calibri" w:eastAsia="Times New Roman" w:hAnsi="Arial Narrow"/>
                <w:b w:val="0"/>
                <w:color w:themeColor="background1" w:themeShade="80" w:val="808080"/>
                <w:sz w:val="18"/>
                <w:szCs w:val="18"/>
                <w:lang w:eastAsia="de-DE"/>
              </w:rPr>
              <w:t>7</w:t>
            </w:r>
          </w:p>
        </w:tc>
        <w:tc>
          <w:tcPr>
            <w:tcW w:type="dxa" w:w="7240"/>
            <w:hideMark/>
          </w:tcPr>
          <w:p>
            <w:pPr>
              <w:spacing w:after="80" w:before="80"/>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Die Qualitätssicherung  hinsichtlich der Mobilitäten ist Teil des Qualitätsmanagements der gesamten Einrichtung.</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00"/>
            <w:noWrap/>
            <w:vAlign w:val="center"/>
            <w:hideMark/>
          </w:tcPr>
          <w:p>
            <w:pPr>
              <w:jc w:val="cente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20"/>
                <w:szCs w:val="20"/>
                <w:lang w:eastAsia="de-DE"/>
              </w:rPr>
            </w:pPr>
            <w:r>
              <w:rPr>
                <w:rFonts w:ascii="Arial Narrow" w:cs="Calibri" w:eastAsia="Times New Roman" w:hAnsi="Arial Narrow"/>
                <w:color w:val="000000"/>
                <w:sz w:val="20"/>
                <w:szCs w:val="20"/>
                <w:lang w:eastAsia="de-DE"/>
              </w:rPr>
              <w:t>o</w:t>
            </w:r>
          </w:p>
        </w:tc>
        <w:tc>
          <w:tcPr>
            <w:tcW w:type="dxa" w:w="4772"/>
            <w:noWrap/>
            <w:hideMark/>
          </w:tcPr>
          <w:p>
            <w:pPr>
              <w:cnfStyle w:evenHBand="0" w:evenVBand="0" w:firstColumn="0" w:firstRow="0" w:firstRowFirstColumn="0" w:firstRowLastColumn="0" w:lastColumn="0" w:lastRow="0" w:lastRowFirstColumn="0" w:lastRowLastColumn="0" w:oddHBand="1" w:oddVBand="0" w:val="000000100000"/>
              <w:rPr>
                <w:rFonts w:ascii="Arial Narrow" w:cs="Calibri" w:eastAsia="Times New Roman" w:hAnsi="Arial Narrow"/>
                <w:color w:val="000000"/>
                <w:sz w:val="18"/>
                <w:szCs w:val="18"/>
                <w:lang w:eastAsia="de-DE"/>
              </w:rPr>
            </w:pPr>
            <w:r>
              <w:rPr>
                <w:rFonts w:ascii="Arial Narrow" w:cs="Calibri" w:eastAsia="Times New Roman" w:hAnsi="Arial Narrow"/>
                <w:color w:val="000000"/>
                <w:sz w:val="18"/>
                <w:szCs w:val="18"/>
                <w:lang w:eastAsia="de-DE"/>
              </w:rPr>
              <w:t> </w:t>
            </w:r>
          </w:p>
        </w:tc>
      </w:tr>
    </w:tbl>
    <w:tbl>
      <w:tblPr>
        <w:tblStyle w:val="Tabellenraster"/>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214"/>
        <w:gridCol w:w="2948"/>
        <w:gridCol w:w="2387"/>
        <w:gridCol w:w="2531"/>
        <w:gridCol w:w="4206"/>
      </w:tblGrid>
      <w:tr>
        <w:trPr>
          <w:trHeight w:val="480"/>
        </w:trPr>
        <w:tc>
          <w:tcPr>
            <w:tcW w:type="dxa" w:w="2235"/>
            <w:vAlign w:val="center"/>
          </w:tcPr>
          <w:p>
            <w:pPr>
              <w:rPr>
                <w:i/>
              </w:rPr>
            </w:pPr>
            <w:r>
              <w:rPr>
                <w:i/>
                <w:color w:themeColor="background1" w:themeShade="80" w:val="808080"/>
                <w:sz w:val="16"/>
                <w:szCs w:val="16"/>
              </w:rPr>
              <w:t>1 Das ist für uns nicht wichtig</w:t>
            </w:r>
          </w:p>
        </w:tc>
        <w:tc>
          <w:tcPr>
            <w:tcW w:type="dxa" w:w="2976"/>
            <w:vAlign w:val="center"/>
          </w:tcPr>
          <w:p>
            <w:pPr>
              <w:rPr>
                <w:i/>
              </w:rPr>
            </w:pPr>
            <w:r>
              <w:rPr>
                <w:i/>
                <w:color w:themeColor="background1" w:themeShade="80" w:val="808080"/>
                <w:sz w:val="16"/>
                <w:szCs w:val="16"/>
              </w:rPr>
              <w:t>2. Das möchten wir einführen / umsetzen.</w:t>
            </w:r>
          </w:p>
        </w:tc>
        <w:tc>
          <w:tcPr>
            <w:tcW w:type="dxa" w:w="2410"/>
            <w:vAlign w:val="center"/>
          </w:tcPr>
          <w:p>
            <w:pPr>
              <w:pStyle w:val="Kopfzeile"/>
              <w:rPr>
                <w:i/>
              </w:rPr>
            </w:pPr>
            <w:r>
              <w:rPr>
                <w:i/>
                <w:color w:themeColor="background1" w:themeShade="80" w:val="808080"/>
                <w:sz w:val="16"/>
                <w:szCs w:val="16"/>
              </w:rPr>
              <w:t>3 Das machen wir in Teilen schon</w:t>
            </w:r>
          </w:p>
        </w:tc>
        <w:tc>
          <w:tcPr>
            <w:tcW w:type="dxa" w:w="2552"/>
            <w:vAlign w:val="center"/>
          </w:tcPr>
          <w:p>
            <w:pPr>
              <w:rPr>
                <w:i/>
              </w:rPr>
            </w:pPr>
            <w:r>
              <w:rPr>
                <w:i/>
                <w:color w:themeColor="background1" w:themeShade="80" w:val="808080"/>
                <w:sz w:val="16"/>
                <w:szCs w:val="16"/>
              </w:rPr>
              <w:t xml:space="preserve">4. Das machen wir regelmäßig, </w:t>
            </w:r>
            <w:r>
              <w:rPr>
                <w:i/>
                <w:color w:themeColor="background1" w:themeShade="80" w:val="808080"/>
                <w:sz w:val="16"/>
                <w:szCs w:val="16"/>
              </w:rPr>
              <w:br/>
              <w:t xml:space="preserve">    meist mit recht gutem Erfolg</w:t>
            </w:r>
          </w:p>
        </w:tc>
        <w:tc>
          <w:tcPr>
            <w:tcW w:type="dxa" w:w="4253"/>
            <w:vAlign w:val="center"/>
          </w:tcPr>
          <w:p>
            <w:pPr>
              <w:rPr>
                <w:i/>
              </w:rPr>
            </w:pPr>
            <w:r>
              <w:rPr>
                <w:i/>
                <w:color w:themeColor="background1" w:themeShade="80" w:val="808080"/>
                <w:sz w:val="16"/>
                <w:szCs w:val="16"/>
              </w:rPr>
              <w:t xml:space="preserve">5. Das machen wir bereits auf </w:t>
            </w:r>
            <w:r>
              <w:rPr>
                <w:i/>
                <w:color w:themeColor="background1" w:themeShade="80" w:val="808080"/>
                <w:sz w:val="16"/>
                <w:szCs w:val="16"/>
              </w:rPr>
              <w:br/>
              <w:t xml:space="preserve">    sehr hohem Niveau</w:t>
            </w:r>
          </w:p>
        </w:tc>
      </w:tr>
    </w:tbl>
  </w:body>
</w:document>
</file>

<file path=word/endnotes.xml><?xml version="1.0" encoding="utf-8"?>
<w:endnotes xmlns:w="http://schemas.openxmlformats.org/wordprocessingml/2006/main">
  <w:endnote w:id="-1" w:type="separator">
    <w:p>
      <w:pPr>
        <w:spacing w:after="0" w:line="240" w:lineRule="auto"/>
      </w:pPr>
      <w:r>
        <w:separator/>
      </w:r>
    </w:p>
  </w:endnote>
  <w:endnote w:id="0" w:type="continuationSeparator">
    <w:p>
      <w:pPr>
        <w:spacing w:after="0" w:line="240" w:lineRule="auto"/>
      </w:pPr>
      <w:r>
        <w:continuationSeparator/>
      </w:r>
    </w:p>
  </w:endnote>
</w:endnotes>
</file>

<file path=word/fontTable.xml><?xml version="1.0" encoding="utf-8"?>
<w:fonts xmlns:w="http://schemas.openxmlformats.org/wordprocessingml/2006/main">
  <w:font w:name="Times New Roman">
    <w:charset w:val="00"/>
    <w:family w:val="roman"/>
    <w:panose1 w:val="02020603050405020304"/>
    <w:pitch w:val="variable"/>
    <w:sig w:csb0="000001FF" w:csb1="00000000" w:usb0="E0002EFF" w:usb1="C000785B" w:usb2="00000009" w:usb3="00000000"/>
  </w:font>
  <w:font w:name="Wingdings">
    <w:charset w:val="02"/>
    <w:family w:val="auto"/>
    <w:panose1 w:val="05000000000000000000"/>
    <w:pitch w:val="variable"/>
    <w:sig w:csb0="80000000" w:csb1="00000000" w:usb0="00000000" w:usb1="10000000" w:usb2="00000000" w:usb3="00000000"/>
  </w:font>
  <w:font w:name="Courier New">
    <w:charset w:val="00"/>
    <w:family w:val="modern"/>
    <w:panose1 w:val="02070309020205020404"/>
    <w:pitch w:val="fixed"/>
    <w:sig w:csb0="000001FF" w:csb1="00000000" w:usb0="E0002EFF" w:usb1="C0007843" w:usb2="00000009" w:usb3="00000000"/>
  </w:font>
  <w:font w:name="Symbol">
    <w:charset w:val="02"/>
    <w:family w:val="roman"/>
    <w:panose1 w:val="05050102010706020507"/>
    <w:pitch w:val="variable"/>
    <w:sig w:csb0="80000000" w:csb1="00000000" w:usb0="00000000" w:usb1="10000000" w:usb2="00000000" w:usb3="00000000"/>
  </w:font>
  <w:font w:name="Calibri">
    <w:charset w:val="00"/>
    <w:family w:val="swiss"/>
    <w:panose1 w:val="020F0502020204030204"/>
    <w:pitch w:val="variable"/>
    <w:sig w:csb0="000001FF" w:csb1="00000000" w:usb0="E0002EFF" w:usb1="C000247B" w:usb2="00000009" w:usb3="00000000"/>
  </w:font>
  <w:font w:name="Tahoma">
    <w:charset w:val="00"/>
    <w:family w:val="swiss"/>
    <w:panose1 w:val="020B0604030504040204"/>
    <w:pitch w:val="variable"/>
    <w:sig w:csb0="000101FF" w:csb1="00000000" w:usb0="E1002EFF" w:usb1="C000605B" w:usb2="00000029" w:usb3="00000000"/>
  </w:font>
  <w:font w:name="Arial Narrow">
    <w:charset w:val="00"/>
    <w:family w:val="swiss"/>
    <w:panose1 w:val="020B0606020202030204"/>
    <w:pitch w:val="variable"/>
    <w:sig w:csb0="0000009F" w:csb1="00000000" w:usb0="00000287" w:usb1="00000800" w:usb2="00000000" w:usb3="00000000"/>
  </w:font>
  <w:font w:name="Cambria">
    <w:charset w:val="00"/>
    <w:family w:val="roman"/>
    <w:panose1 w:val="02040503050406030204"/>
    <w:pitch w:val="variable"/>
    <w:sig w:csb0="0000019F" w:csb1="00000000" w:usb0="E00006FF" w:usb1="420024FF" w:usb2="02000000" w:usb3="00000000"/>
  </w:font>
</w:fonts>
</file>

<file path=word/footer1.xml><?xml version="1.0" encoding="utf-8"?>
<w:ftr xmlns:w="http://schemas.openxmlformats.org/wordprocessingml/2006/main">
  <w:p>
    <w:pPr>
      <w:pStyle w:val="Fuzeile"/>
      <w:rPr>
        <w:i/>
        <w:color w:themeColor="background1" w:themeShade="80" w:val="808080"/>
      </w:rPr>
    </w:pPr>
    <w:r>
      <w:rPr>
        <w:i/>
        <w:color w:themeColor="background1" w:themeShade="80" w:val="808080"/>
        <w:sz w:val="16"/>
        <w:szCs w:val="16"/>
      </w:rPr>
      <w:t xml:space="preserve">Selbsteinschätzung Internationalisierung; </w:t>
    </w:r>
    <w:r>
      <w:rPr>
        <w:rFonts w:cstheme="minorHAnsi"/>
        <w:i/>
        <w:color w:themeColor="background1" w:themeShade="80" w:val="808080"/>
        <w:sz w:val="16"/>
        <w:szCs w:val="16"/>
      </w:rPr>
      <w:t>©</w:t>
    </w:r>
    <w:r>
      <w:rPr>
        <w:i/>
        <w:color w:themeColor="background1" w:themeShade="80" w:val="808080"/>
        <w:sz w:val="16"/>
        <w:szCs w:val="16"/>
      </w:rPr>
      <w:t>NA beim BI</w:t>
    </w:r>
    <w:r>
      <w:rPr>
        <w:i/>
        <w:color w:themeColor="background1" w:themeShade="80" w:val="808080"/>
        <w:sz w:val="16"/>
        <w:szCs w:val="16"/>
      </w:rPr>
      <w:t xml:space="preserve">BB, Stand </w:t>
    </w:r>
    <w:r>
      <w:rPr>
        <w:i/>
        <w:color w:themeColor="background1" w:themeShade="80" w:val="808080"/>
        <w:sz w:val="16"/>
        <w:szCs w:val="16"/>
      </w:rPr>
      <w:t>09</w:t>
    </w:r>
    <w:r>
      <w:rPr>
        <w:i/>
        <w:color w:themeColor="background1" w:themeShade="80" w:val="808080"/>
        <w:sz w:val="16"/>
        <w:szCs w:val="16"/>
      </w:rPr>
      <w:t>.</w:t>
    </w:r>
    <w:r>
      <w:rPr>
        <w:i/>
        <w:color w:themeColor="background1" w:themeShade="80" w:val="808080"/>
        <w:sz w:val="16"/>
        <w:szCs w:val="16"/>
      </w:rPr>
      <w:t>05.2019</w:t>
    </w:r>
    <w:r>
      <w:rPr>
        <w:i/>
        <w:color w:themeColor="background1" w:themeShade="80" w:val="808080"/>
        <w:sz w:val="16"/>
        <w:szCs w:val="16"/>
      </w:rPr>
      <w:t xml:space="preserve">, Seite </w:t>
    </w:r>
    <w:r>
      <w:rPr>
        <w:i/>
        <w:color w:themeColor="background1" w:themeShade="80" w:val="808080"/>
        <w:sz w:val="16"/>
        <w:szCs w:val="16"/>
      </w:rPr>
      <w:fldChar w:fldCharType="begin"/>
    </w:r>
    <w:r>
      <w:rPr>
        <w:i/>
        <w:color w:themeColor="background1" w:themeShade="80" w:val="808080"/>
        <w:sz w:val="16"/>
        <w:szCs w:val="16"/>
      </w:rPr>
      <w:instrText>PAGE  \* Arabic  \* MERGEFORMAT</w:instrText>
    </w:r>
    <w:r>
      <w:rPr>
        <w:i/>
        <w:color w:themeColor="background1" w:themeShade="80" w:val="808080"/>
        <w:sz w:val="16"/>
        <w:szCs w:val="16"/>
      </w:rPr>
      <w:fldChar w:fldCharType="separate"/>
    </w:r>
    <w:r>
      <w:rPr>
        <w:i/>
        <w:noProof/>
        <w:color w:themeColor="background1" w:themeShade="80" w:val="808080"/>
        <w:sz w:val="16"/>
        <w:szCs w:val="16"/>
      </w:rPr>
      <w:t>10</w:t>
    </w:r>
    <w:r>
      <w:rPr>
        <w:i/>
        <w:color w:themeColor="background1" w:themeShade="80" w:val="808080"/>
        <w:sz w:val="16"/>
        <w:szCs w:val="16"/>
      </w:rPr>
      <w:fldChar w:fldCharType="end"/>
    </w:r>
    <w:r>
      <w:rPr>
        <w:i/>
        <w:color w:themeColor="background1" w:themeShade="80" w:val="808080"/>
        <w:sz w:val="16"/>
        <w:szCs w:val="16"/>
      </w:rPr>
      <w:t xml:space="preserve"> / </w:t>
    </w:r>
    <w:r>
      <w:rPr>
        <w:i/>
        <w:color w:themeColor="background1" w:themeShade="80" w:val="808080"/>
        <w:sz w:val="16"/>
        <w:szCs w:val="16"/>
      </w:rPr>
      <w:fldChar w:fldCharType="begin"/>
    </w:r>
    <w:r>
      <w:rPr>
        <w:i/>
        <w:color w:themeColor="background1" w:themeShade="80" w:val="808080"/>
        <w:sz w:val="16"/>
        <w:szCs w:val="16"/>
      </w:rPr>
      <w:instrText>NUMPAGES  \* Arabic  \* MERGEFORMAT</w:instrText>
    </w:r>
    <w:r>
      <w:rPr>
        <w:i/>
        <w:color w:themeColor="background1" w:themeShade="80" w:val="808080"/>
        <w:sz w:val="16"/>
        <w:szCs w:val="16"/>
      </w:rPr>
      <w:fldChar w:fldCharType="separate"/>
    </w:r>
    <w:r>
      <w:rPr>
        <w:i/>
        <w:noProof/>
        <w:color w:themeColor="background1" w:themeShade="80" w:val="808080"/>
        <w:sz w:val="16"/>
        <w:szCs w:val="16"/>
      </w:rPr>
      <w:t>10</w:t>
    </w:r>
    <w:r>
      <w:rPr>
        <w:i/>
        <w:color w:themeColor="background1" w:themeShade="80" w:val="808080"/>
        <w:sz w:val="16"/>
        <w:szCs w:val="16"/>
      </w:rPr>
      <w:fldChar w:fldCharType="end"/>
    </w:r>
  </w:p>
</w:ftr>
</file>

<file path=word/footnotes.xml><?xml version="1.0" encoding="utf-8"?>
<w:footnotes xmlns:w="http://schemas.openxmlformats.org/wordprocessingml/2006/main">
  <w:footnote w:id="-1" w:type="separator">
    <w:p>
      <w:pPr>
        <w:spacing w:after="0" w:line="240" w:lineRule="auto"/>
      </w:pPr>
      <w:r>
        <w:separator/>
      </w:r>
    </w:p>
  </w:footnote>
  <w:footnote w:id="0" w:type="continuationSeparator">
    <w:p>
      <w:pPr>
        <w:spacing w:after="0" w:line="240" w:lineRule="auto"/>
      </w:pPr>
      <w:r>
        <w:continuationSeparator/>
      </w:r>
    </w:p>
  </w:footnote>
</w:footnotes>
</file>

<file path=word/settings.xml><?xml version="1.0" encoding="utf-8"?>
<w:settings xmlns:m="http://schemas.openxmlformats.org/officeDocument/2006/math" xmlns:o="urn:schemas-microsoft-com:office:office" xmlns:v="urn:schemas-microsoft-com:vml" xmlns:w="http://schemas.openxmlformats.org/wordprocessingml/2006/main" xmlns:w15="http://schemas.microsoft.com/office/word/2012/wordml">
  <w:zoom w:percent="100"/>
  <w:defaultTabStop w:val="708"/>
  <w:hyphenationZone w:val="425"/>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brkBin m:val="before"/>
    <m:brkBinSub m:val="--"/>
    <m:defJc m:val="centerGroup"/>
    <m:dispDef/>
    <m:intLim m:val="subSup"/>
    <m:lMargin m:val="0"/>
    <m:mathFont m:val="Cambria Math"/>
    <m:naryLim m:val="undOvr"/>
    <m:rMargin m:val="0"/>
    <m:smallFrac m:val="0"/>
    <m:wrapIndent m:val="1440"/>
  </m:mathPr>
  <w:themeFontLang w:val="de-DE"/>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E09FCBF0-1F03-4E1F-9F1E-C085ECFD5BB3}"/>
</w:settings>
</file>

<file path=word/styles.xml><?xml version="1.0" encoding="utf-8"?>
<w:styles xmlns:w="http://schemas.openxmlformats.org/wordprocessingml/2006/main">
  <w:docDefaults>
    <w:pPrDefault>
      <w:pPr>
        <w:spacing w:after="200" w:line="276" w:lineRule="auto"/>
      </w:pPr>
    </w:pPrDefault>
    <w:rPrDefault>
      <w:rPr>
        <w:rFonts w:asciiTheme="minorHAnsi" w:cstheme="minorBidi" w:eastAsiaTheme="minorHAnsi" w:hAnsiTheme="minorHAnsi"/>
        <w:sz w:val="22"/>
        <w:szCs w:val="22"/>
        <w:lang w:bidi="ar-SA" w:eastAsia="en-US" w:val="de-DE"/>
      </w:rPr>
    </w:r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Standard" w:type="paragraph">
    <w:name w:val="Normal"/>
    <w:qFormat/>
  </w:style>
  <w:style w:default="1" w:styleId="Absatz-Standardschriftart" w:type="character">
    <w:name w:val="Default Paragraph Font"/>
    <w:semiHidden/>
    <w:uiPriority w:val="1"/>
    <w:unhideWhenUsed/>
  </w:style>
  <w:style w:default="1" w:styleId="NormaleTabelle" w:type="table">
    <w:name w:val="Normal Table"/>
    <w:semiHidden/>
    <w:tblPr>
      <w:tblInd w:type="dxa" w:w="0"/>
      <w:tblCellMar>
        <w:top w:type="dxa" w:w="0"/>
        <w:left w:type="dxa" w:w="108"/>
        <w:bottom w:type="dxa" w:w="0"/>
        <w:right w:type="dxa" w:w="108"/>
      </w:tblCellMar>
    </w:tblPr>
    <w:uiPriority w:val="99"/>
    <w:unhideWhenUsed/>
  </w:style>
  <w:style w:default="1" w:styleId="KeineListe" w:type="numbering">
    <w:name w:val="No List"/>
    <w:semiHidden/>
    <w:uiPriority w:val="99"/>
    <w:unhideWhenUsed/>
  </w:style>
  <w:style w:styleId="Tabellenraster" w:type="table">
    <w:basedOn w:val="NormaleTabelle"/>
    <w:name w:val="Table Gri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uiPriority w:val="59"/>
  </w:style>
  <w:style w:styleId="Listenabsatz" w:type="paragraph">
    <w:basedOn w:val="Standard"/>
    <w:name w:val="List Paragraph"/>
    <w:pPr>
      <w:ind w:left="720"/>
      <w:contextualSpacing/>
    </w:pPr>
    <w:qFormat/>
    <w:uiPriority w:val="34"/>
  </w:style>
  <w:style w:styleId="Hyperlink" w:type="character">
    <w:basedOn w:val="Absatz-Standardschriftart"/>
    <w:name w:val="Hyperlink"/>
    <w:rPr>
      <w:color w:themeColor="hyperlink" w:val="0000FF"/>
      <w:u w:val="single"/>
    </w:rPr>
    <w:uiPriority w:val="99"/>
    <w:unhideWhenUsed/>
  </w:style>
  <w:style w:styleId="HelleSchattierung-Akzent1" w:type="table">
    <w:basedOn w:val="NormaleTabelle"/>
    <w:name w:val="Light Shading Accent 1"/>
    <w:pPr>
      <w:spacing w:after="0" w:line="240" w:lineRule="auto"/>
    </w:pPr>
    <w:rPr>
      <w:color w:themeColor="accent1" w:themeShade="BF" w:val="365F91"/>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bCs/>
      </w:rPr>
      <w:tblPr/>
      <w:tcPr>
        <w:tcBorders>
          <w:top w:color="4F81BD" w:space="0" w:sz="8" w:themeColor="accent1" w:val="single"/>
          <w:left w:val="nil"/>
          <w:bottom w:color="4F81BD" w:space="0" w:sz="8" w:themeColor="accent1" w:val="single"/>
          <w:right w:val="nil"/>
          <w:insideH w:val="nil"/>
          <w:insideV w:val="nil"/>
        </w:tcBorders>
      </w:tcPr>
    </w:tblStylePr>
    <w:tblStylePr w:type="lastRow">
      <w:pPr>
        <w:spacing w:after="0" w:before="0" w:line="240" w:lineRule="auto"/>
      </w:pPr>
      <w:rPr>
        <w:b/>
        <w:bCs/>
      </w:rPr>
      <w:tblPr/>
      <w:tcPr>
        <w:tcBorders>
          <w:top w:color="4F81BD" w:space="0" w:sz="8" w:themeColor="accent1" w:val="single"/>
          <w:left w:val="nil"/>
          <w:bottom w:color="4F81BD" w:space="0" w:sz="8" w:themeColor="accent1" w:val="single"/>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color="auto" w:fill="D3DFEE" w:themeFill="accent1" w:themeFillTint="3F" w:val="clear"/>
      </w:tcPr>
    </w:tblStylePr>
    <w:tblStylePr w:type="band1Horz">
      <w:tblPr/>
      <w:tcPr>
        <w:tcBorders>
          <w:left w:val="nil"/>
          <w:right w:val="nil"/>
          <w:insideH w:val="nil"/>
          <w:insideV w:val="nil"/>
        </w:tcBorders>
        <w:shd w:color="auto" w:fill="D3DFEE" w:themeFill="accent1" w:themeFillTint="3F" w:val="clear"/>
      </w:tcPr>
    </w:tblStylePr>
    <w:uiPriority w:val="60"/>
  </w:style>
  <w:style w:styleId="Kopfzeile" w:type="paragraph">
    <w:basedOn w:val="Standard"/>
    <w:link w:val="KopfzeileZchn"/>
    <w:name w:val="header"/>
    <w:pPr>
      <w:tabs>
        <w:tab w:pos="4536" w:val="center"/>
        <w:tab w:pos="9072" w:val="right"/>
      </w:tabs>
      <w:spacing w:after="0" w:line="240" w:lineRule="auto"/>
    </w:pPr>
    <w:uiPriority w:val="99"/>
    <w:unhideWhenUsed/>
  </w:style>
  <w:style w:customStyle="1" w:styleId="KopfzeileZchn" w:type="character">
    <w:basedOn w:val="Absatz-Standardschriftart"/>
    <w:link w:val="Kopfzeile"/>
    <w:name w:val="Kopfzeile Zchn"/>
    <w:uiPriority w:val="99"/>
  </w:style>
  <w:style w:styleId="Fuzeile" w:type="paragraph">
    <w:basedOn w:val="Standard"/>
    <w:link w:val="FuzeileZchn"/>
    <w:name w:val="footer"/>
    <w:pPr>
      <w:tabs>
        <w:tab w:pos="4536" w:val="center"/>
        <w:tab w:pos="9072" w:val="right"/>
      </w:tabs>
      <w:spacing w:after="0" w:line="240" w:lineRule="auto"/>
    </w:pPr>
    <w:uiPriority w:val="99"/>
    <w:unhideWhenUsed/>
  </w:style>
  <w:style w:customStyle="1" w:styleId="FuzeileZchn" w:type="character">
    <w:basedOn w:val="Absatz-Standardschriftart"/>
    <w:link w:val="Fuzeile"/>
    <w:name w:val="Fußzeile Zchn"/>
    <w:uiPriority w:val="99"/>
  </w:style>
  <w:style w:styleId="Sprechblasentext" w:type="paragraph">
    <w:basedOn w:val="Standard"/>
    <w:link w:val="SprechblasentextZchn"/>
    <w:name w:val="Balloon Text"/>
    <w:pPr>
      <w:spacing w:after="0" w:line="240" w:lineRule="auto"/>
    </w:pPr>
    <w:rPr>
      <w:rFonts w:ascii="Tahoma" w:cs="Tahoma" w:hAnsi="Tahoma"/>
      <w:sz w:val="16"/>
      <w:szCs w:val="16"/>
    </w:rPr>
    <w:semiHidden/>
    <w:uiPriority w:val="99"/>
    <w:unhideWhenUsed/>
  </w:style>
  <w:style w:customStyle="1" w:styleId="SprechblasentextZchn" w:type="character">
    <w:basedOn w:val="Absatz-Standardschriftart"/>
    <w:link w:val="Sprechblasentext"/>
    <w:name w:val="Sprechblasentext Zchn"/>
    <w:rPr>
      <w:rFonts w:ascii="Tahoma" w:cs="Tahoma" w:hAnsi="Tahoma"/>
      <w:sz w:val="16"/>
      <w:szCs w:val="16"/>
    </w:rPr>
    <w:semiHidden/>
    <w:uiPriority w:val="99"/>
  </w:style>
  <w:style w:styleId="StandardWeb" w:type="paragraph">
    <w:basedOn w:val="Standard"/>
    <w:name w:val="Normal (Web)"/>
    <w:pPr>
      <w:spacing w:after="0" w:line="240" w:lineRule="auto"/>
    </w:pPr>
    <w:rPr>
      <w:rFonts w:ascii="Times New Roman" w:cs="Times New Roman" w:hAnsi="Times New Roman"/>
      <w:sz w:val="24"/>
      <w:szCs w:val="24"/>
      <w:lang w:eastAsia="de-DE"/>
    </w:rPr>
    <w:semiHidden/>
    <w:uiPriority w:val="99"/>
    <w:unhideWhenUsed/>
  </w:style>
</w:styles>
</file>

<file path=word/_rels/document.xml.rels><?xml version="1.0" encoding="UTF-8" standalone="yes"?>
<Relationships xmlns="http://schemas.openxmlformats.org/package/2006/relationships"><Relationship Id="rId8" Type="http://schemas.openxmlformats.org/officeDocument/2006/relationships/hyperlink" Target="http://www.cimo.fi/services/publications/strength_from_international_coope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bibb.de" TargetMode="External"/><Relationship Id="rId5" Type="http://schemas.openxmlformats.org/officeDocument/2006/relationships/webSettings" Target="webSettings.xml"/><Relationship Id="rId10" Type="http://schemas.openxmlformats.org/officeDocument/2006/relationships/hyperlink" Target="mailto:fleitling@bibb.de" TargetMode="External"/><Relationship Id="rId4" Type="http://schemas.openxmlformats.org/officeDocument/2006/relationships/settings" Target="settings.xml"/><Relationship Id="rId9" Type="http://schemas.openxmlformats.org/officeDocument/2006/relationships/hyperlink" Target="mailto:ulrike.schroeder@bibb.de" TargetMode="External"/><Relationship Id="rId14" Type="http://schemas.openxmlformats.org/officeDocument/2006/relationships/theme" Target="theme/theme1.xml"/></Relationships>
</file>

<file path=docProps/app.xml><?xml version="1.0" encoding="utf-8"?>
<Properties xmlns="http://schemas.openxmlformats.org/officeDocument/2006/extended-properties"/>
</file>

<file path=docProps/core.xml><?xml version="1.0" encoding="utf-8"?>
<cp:coreProperties xmlns:cp="http://schemas.openxmlformats.org/package/2006/metadata/core-properties"/>
</file>